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básica:Barrow, C.J. Land Degradation Cambridge University Press, 1991.Berger, A.R. The geoindicator concept and its application: An introduction. In: Berger, A.R. &amp; Iams, W.J. (EDTS) Assessing Rapid Environmental Geoindicators: Changers in Earth Systems. pp.: 1-14 Balkema, Rotterdam, 1996.Blaikie, P. &amp; Brookfield, H. Land degradation and society. London Methuen, 1987Brunsden, D. and Moore, R. Engineering geomorphology on the coast: lessons from West Dorset. Geomorphology 31: 391-409, 1999.CALIJURI, M.C.; CUNHA, D.G.F. Engenharia Ambiental. Conceitos, Tecnologia e Gestão. Rio de Janeiro, Elsevier, 2013.Dahlberg, A.C. Interpretations of environmetal change and diversity: A critical approach to indications of degradation - The case of Kalakamate, Northeast Botswana. Land degradation &amp; Development, 11: 549-562, 2000.DIAS, L.E; GRIFFTITH,J.J. Conceituação e Caracterização de Áreas Degradadas. In: DIAS, L.E; MELLO, J.W.V (orgs). Recuperação de Áreas Degradadas. Universidade Federal de Viçosa. Sociedade Brasileira de Recuperação de Áreas Degradadas, 1998.Duque, M.J.F., Pedroza, J., Ciez, A., Sanz, M.A. &amp; Carrasco, R.M.. A geomorphical design for the rehabilitation of an abandoned sand quarry in central Spain. Landscape and urban planning, 42: 1-14, 1998.GUERRA, A. J. T.; ARAUJO, G., ALMEIDA, J. R. Gestão Ambiental De Áreas Degradadas. Rio de Janeiro : Bertrand Brasil, 2007.Marchetti, M. &amp; Panizza, M. Geomorphology and Environmental Impact Assesssment: A case study in Moema (Dolomites - Italy). In: Marchetti, M &amp; Pinas, V. (EDS). Geomorphology and Environemental Impact Assessements pp: 71-82, Balkema, 2001.MARTINS, S.V. Recuperação de Áreas Degradadas. Universidade Federal de Viçosa. Viçosa, 2013.Neimanis, U. &amp; kerr, A. Developing national environmental indicators. In: Berger, A.R. &amp; Iams, W.J. (EDTS) Assessing rapid environmental geoindicators: changes in earth systems. 1996.SANCHEZ, L.E. Desengenharia: o passive ambiental na desativaçao de empreendimentos industriais. São Paulo, EDUSP, 2001.SANCHEZ, L.E. Avaliação de Impacto Ambiental. São Paulo, Oficina de Textos, 2006.Bibliografia complementar:Berger, A.R. Assessing Rapid Environmetal Change Using Geoindicators. Environmetal Geology, 32, n. 1, 36-44, 1997.Fao. A provisional methodology for soil degradation assessment. FAO. Rome, 1979,Lindskog, P. and Tengberg, A. Land degradation, Natural resources and local knowledge in the Sahel zone of Burkina Faso. Geojournal, 33, 365-375, 1994.Morton, R. A. Geoindicators of coastal wet land and shorelines. In: berger, A.R. &amp; Iams, W.J. (EDTS) Assessing Rapid Environmental Geoindicators: Changes inEarth Systems. pp: 207-232, 1996.Murthy,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LOB1210 -  Solos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