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01/01/2025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LOB1041 -  Física Experimental II  (Requisito)</w:t>
        <w:br/>
      </w:r>
      <w:r>
        <w:t>LOB1039 -  Física Experimental III  (Requisito)</w:t>
        <w:br/>
      </w:r>
      <w:r>
        <w:t>LOB1042 -  Física Experimental IV  (Requisito)</w:t>
        <w:br/>
      </w:r>
      <w:r>
        <w:t>LOM3016 -  Introdução à  Ciência dos Materiais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LOM3037 -  Química Inorgânica  (Requisito)</w:t>
        <w:br/>
      </w:r>
      <w:r>
        <w:t>LOM3260 -  Computação Científica em Python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  <w:r>
        <w:t>LOM3204 -  Desenho Técnico e Projeto Assistido por Computador  (Requisito)</w:t>
        <w:br/>
      </w:r>
      <w:r>
        <w:t>LOB1003 -  Cálculo I  (Requisito)</w:t>
        <w:br/>
      </w:r>
      <w:r>
        <w:t>LOB1004 -  Cálculo II  (Requisito)</w:t>
        <w:br/>
      </w:r>
      <w:r>
        <w:t>LOB1052 -  Cálculo III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LOB1053 -  Física III  (Requisito)</w:t>
        <w:br/>
      </w:r>
      <w:r>
        <w:t>LOB1021 -  Física IV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