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r>
        <w:rPr>
          <w:i/>
        </w:rPr>
        <w:t>Provide the student with the basic knowledge of magnetic and superconducting materials aiming their application in devices.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Programa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A nota final , antes da recuperação é dada pela média aritmética das notas das avaliações escritas e da nota do seminário apresentado, se aplicável.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  <w:r>
        <w:t>LOM3263 -  Eletrônica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