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Apresentar as técnicas experimentais de preparação materialográfica e de caracterização de materiais.</w:t>
      </w:r>
    </w:p>
    <w:p>
      <w:r>
        <w:rPr>
          <w:i/>
        </w:rPr>
        <w:t>To present the experimental techniques of materialographic preparation and characterization of materials.</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Programa</w:t>
      </w:r>
    </w:p>
    <w:p>
      <w:r>
        <w:t>A microestrutura dos materiais. Sistemas e reticulados cristalinos, grupos espaciais e simetria, tipos mais comuns de estruturas cristalinas. Projeção estereográfica. Direção do feixe difratado e a lei de Bragg. Intensidade do feixe difratado. Métodos de difração de raios X. 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r>
    </w:p>
    <w:p>
      <w:pPr>
        <w:pStyle w:val="Heading2"/>
      </w:pPr>
      <w:r>
        <w:t>Requisitos</w:t>
      </w:r>
    </w:p>
    <w:p>
      <w:pPr>
        <w:pStyle w:val="ListBullet"/>
      </w:pPr>
      <w:r>
        <w:t>LOB1021 -  Física IV  (Requisito)</w:t>
        <w:br/>
      </w:r>
      <w:r>
        <w:t>LOM3016 -  Introdução à  Ciência dos Materiais  (Requisito)</w:t>
        <w:br/>
      </w:r>
      <w:r>
        <w:t>LOM3246 -  Técnicas de Caracterização de Materiais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