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LOQ4051 -  Estágio Supervisionado</w:t>
      </w:r>
    </w:p>
    <w:p>
      <w:pPr>
        <w:pStyle w:val="Heading3"/>
      </w:pPr>
      <w:r>
        <w:t>Internship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Química nos projetos e processos químicos.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em Engenharia Química. O conteúdo será estabelecido individualmente no Plano de Trabalho entre o Supervisor do Estágio e o professor orientador, desde que relacionado com as áreas afins da Engenharia Química.  Apresentação de relatório final e/ou relatórios parciais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LOM3081 -  Introdução à Mecânica dos Sólidos  (Requisito)</w:t>
        <w:br/>
      </w:r>
      <w:r>
        <w:t>LOQ4010 -  Introdução à  Engenharia  Química  (Requisito)</w:t>
        <w:br/>
      </w:r>
      <w:r>
        <w:t>LOQ4095 -  Química Geral Experimental  (Requisito)</w:t>
        <w:br/>
      </w:r>
      <w:r>
        <w:t>LOQ4097 -  Fundamentos de Química para Engenharia I (Requisito)</w:t>
        <w:br/>
      </w:r>
      <w:r>
        <w:t>LOQ4098 -  Fundamentos de Química para Engenharia II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