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LOQ4010 -  Introdução à  Engenharia  Química  (Requisito fraco)</w:t>
        <w:br/>
      </w:r>
      <w:r>
        <w:t>LOQ4031 -  Química Geral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