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LOM3037</w:t>
      </w:r>
    </w:p>
    <w:p>
      <w:pPr>
        <w:pStyle w:val="Normal"/>
        <w:jc w:val="left"/>
      </w:pPr>
      <w:r>
        <w:rPr/>
        <w:t xml:space="preserve">LOM3037 - Química Inorgânica</w:t>
      </w:r>
    </w:p>
    <w:p>
      <w:pPr>
        <w:pStyle w:val="Normal"/>
        <w:jc w:val="left"/>
      </w:pPr>
      <w:r>
        <w:rPr/>
        <w:t xml:space="preserve">Inorganic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-Capacitar o aluno a escrever e balancear reações químicas, mostrando os produtos esperados, para os elementos da tabela periódica e seus compostos.Capacitar o aluno para relacionar as propriedades químicas e físicas dos elementos e seus compostos com suas posições na tabela periódica.-Capacitar o</w:t>
      </w:r>
    </w:p>
    <w:p>
      <w:pPr>
        <w:pStyle w:val="Normal"/>
        <w:jc w:val="left"/>
      </w:pPr>
      <w:r>
        <w:rPr/>
        <w:t xml:space="preserve">aluno a escrever os métodos de obtenção dos elementos e seus compostos, bem como descrever suas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Metais Representativos: Metais do Grupo 1, Metais do Grupo 2 e Metais do Grupo 13.- Metais de Transição: Propriedades gerais, Complexos.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Metais Representativos: Características gerais dos metais dos Grupos 1, 2 e 13.- Metais de transição: Introdução e Propriedades gerais, Complexos.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bimestrais escritas (P1 e P2), cada uma valendo nota de 0,0 a 10,0.</w:t>
      </w:r>
    </w:p>
    <w:p>
      <w:pPr>
        <w:pStyle w:val="Normal"/>
        <w:jc w:val="left"/>
      </w:pPr>
      <w:r>
        <w:rPr/>
        <w:t xml:space="preserve">Critério: MS= P1+P2/2, onde: MS= média do semestre.MS&gt; ou = 5,0 = Aluno AprovadoMS&lt; 3,0 = Aluno Reprovado3,0 &lt; ou = MS &lt; 5,0 =</w:t>
      </w:r>
    </w:p>
    <w:p>
      <w:pPr>
        <w:pStyle w:val="Normal"/>
        <w:jc w:val="left"/>
      </w:pPr>
      <w:r>
        <w:rPr/>
        <w:t xml:space="preserve">Aluno de Recuperação.</w:t>
      </w:r>
    </w:p>
    <w:p>
      <w:pPr>
        <w:pStyle w:val="Normal"/>
        <w:jc w:val="left"/>
      </w:pPr>
      <w:r>
        <w:rPr/>
        <w:t xml:space="preserve">Norma de recuperação: Estudo dirigido de todo o conteúdo da disciplina e uma prova (PR) valendo nota de 0,0 a 10,0, contendo todo o conteúdo</w:t>
      </w:r>
    </w:p>
    <w:p>
      <w:pPr>
        <w:pStyle w:val="Normal"/>
        <w:jc w:val="left"/>
      </w:pPr>
      <w:r>
        <w:rPr/>
        <w:t xml:space="preserve">da disciplina.O aluno será aprovado se apresentar (média final) MF &gt; ou = 5,0.Onde: MF= MS+PR/2, onde: MS= média do semestre e PR= prova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LEE, J. D. “Química Inorgânica não tão Concisa”, Editora Edgard Blücher, 1999.- SHRIVER, D. F.; ATKINS, P. W. “Química Inorgânica”, Editora</w:t>
      </w:r>
    </w:p>
    <w:p>
      <w:pPr>
        <w:pStyle w:val="Normal"/>
        <w:jc w:val="left"/>
      </w:pPr>
      <w:r>
        <w:rPr/>
        <w:t xml:space="preserve">Bookman, 4ª edição, 2008.- QUAGLIANO, J. V.; VALLARINO, L. “Química”, Editora Guanabara Koogan, 1973.- MELLOR, J. W. “Química</w:t>
      </w:r>
    </w:p>
    <w:p>
      <w:pPr>
        <w:pStyle w:val="Normal"/>
        <w:jc w:val="left"/>
      </w:pPr>
      <w:r>
        <w:rPr/>
        <w:t xml:space="preserve">Inorgânica Moderna”, Editora: Globo – Porto Alegre, 1967.- GREENWOOD, N. N.; EARNSHAW, A. “Chemistry of the Elements”, Butterworth</w:t>
      </w:r>
    </w:p>
    <w:p>
      <w:pPr>
        <w:pStyle w:val="Normal"/>
        <w:jc w:val="left"/>
      </w:pPr>
      <w:r>
        <w:rPr/>
        <w:t xml:space="preserve">Heinemann, 1997.- BUCHEL, K. H.; MORETTO, H. H.; WODITSCH, P. “Industrial Inorganic Chemistry”, Editora Wiley-VCH, 2000.- RAYNERCANHAM, G.; OVERTON, T. “Química Inorgânica Descritiva”, Editora: Gen-LTC, 5ª edição, 2015.- SOUZA, M.M.V.M. “Processos Inorgânicos”,</w:t>
      </w:r>
    </w:p>
    <w:p>
      <w:pPr>
        <w:pStyle w:val="Normal"/>
        <w:jc w:val="left"/>
      </w:pPr>
      <w:r>
        <w:rPr/>
        <w:t xml:space="preserve">Editora: Synergia, 1ª edição, 2012.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