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01/01/2017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3380737 - Flávio Teixeira da Silva</w:t>
      </w:r>
    </w:p>
    <w:p>
      <w:pPr>
        <w:pStyle w:val="Heading2"/>
      </w:pPr>
      <w:r>
        <w:t>Programa resumido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>Programa</w:t>
      </w:r>
    </w:p>
    <w:p>
      <w:r>
        <w:t>Estrutura versus propriedades físico-química dos: hidrocarbonetos, compostos com grupos funcionais formados por ligações simples, o grupo carbonila e seus compostos derivados, grupos funcionais que contém hetero-átomos, benzeno e aromaticidade;Esteroquímica;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 (P1 e P2). Critério</w:t>
        <w:br/>
      </w:r>
      <w:r>
        <w:rPr>
          <w:b/>
        </w:rPr>
        <w:t xml:space="preserve">Critério: </w:t>
      </w:r>
      <w:r>
        <w:t>A Nota final (NF) será calculada da seguinte maneira: NF = [(P1x1) + (P2x2)]/3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SOLOMONS, T.W.G., FRYHLE, C.B. Química Orgânica 1 e 2. 10ª Edição, Rio de Janeiro, LTC Editora, 2012.BRUICE, P. Y. Química Orgânica, vol 1 e 2, São Paulo, Pearson Prentice Hall, 2006.ALLINGER, N.L. Química Orgânica, 2ª Edição, Rio de Janeiro, Guanabara Dois, 1976.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