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Number"/>
      </w:pPr>
      <w:r>
        <w:t>Créditos-aula: 2</w:t>
        <w:br/>
      </w:r>
      <w:r>
        <w:t>Créditos-trabalho: 0</w:t>
        <w:br/>
      </w:r>
      <w:r>
        <w:t>Carga horária: 30 h</w:t>
        <w:br/>
      </w:r>
      <w:r>
        <w:t>Semestre ideal: 1</w:t>
        <w:br/>
      </w:r>
      <w:r>
        <w:t>Ativação: 01/01/2018</w:t>
        <w:br/>
      </w:r>
      <w:r>
        <w:t>Departamento: Engenharia Química</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