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(2), EM (1), EA (1), EB (1), EP (1), EQN (1)</w:t>
      </w:r>
    </w:p>
    <w:p>
      <w:pPr>
        <w:pStyle w:val="Heading2"/>
      </w:pPr>
      <w:r>
        <w:t>Objetivos</w:t>
      </w:r>
    </w:p>
    <w:p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O texto escrito da esfera acadêmica. Gêneros acadêmicos.</w:t>
      </w:r>
    </w:p>
    <w:p>
      <w:pPr>
        <w:pStyle w:val="Heading2"/>
      </w:pPr>
      <w:r>
        <w:t>Programa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 1  = Prova= 10,0</w:t>
        <w:br/>
        <w:t>N 2 = 1ª NP + 2ª NP  (ver abaixo)</w:t>
        <w:br/>
      </w:r>
      <w:r>
        <w:rPr>
          <w:b/>
        </w:rPr>
        <w:t xml:space="preserve">Critério: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recuperação, por meio de uma prova.</w:t>
      </w:r>
    </w:p>
    <w:p>
      <w:pPr>
        <w:pStyle w:val="Heading2"/>
      </w:pPr>
      <w:r>
        <w:t>Bibliografia</w:t>
      </w:r>
    </w:p>
    <w:p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