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Ciências Básicas e Ambientais</w:t>
        <w:br/>
      </w:r>
      <w:r>
        <w:t>Curso (semestre ideal): EM (8), EA (7), EQD (4), EQN (9)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