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Apresentar e analisar os conceitos básicos de monitoramento, suas aplicações práticas e as interfaces com os demais instrumentos de Política Ambiental.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Monitoramento da qualidade ambiental.</w:t>
      </w:r>
    </w:p>
    <w:p>
      <w:pPr>
        <w:pStyle w:val="Heading2"/>
      </w:pPr>
      <w:r>
        <w:t>Programa</w:t>
      </w:r>
    </w:p>
    <w:p>
      <w:r>
        <w:t>Conceitos de qualidade ambiental, poluição, padrões de qualidade e de emissão. Conceito de monitoramento. Amostragem. Sistemas de monitoramento. Índices de qualidade. Monitoramento como parte integrante de sistema de gestão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