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-Capacitar o aluno a escrever e balancear reações químicas, mostrando os produtos esperados, para os elementos da tabela periódica e seus compostos.-Capacitar o aluno para relacionar as propriedades químicas e físicas dos elementos e seus compostos com suas posições na tabela periódica.-Capacitar o aluno a escrever os métodos de obtenção dos elementos e seus compostos, bem como descrever suas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- Metais Representativos: Características gerais dos metais dos Grupos 1, 2 e 13.- Metais de transição: Introdução e Propriedades gerais, Complexos.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LEE, J. D. “Química Inorgânica não tão Concisa”, Editora Edgard Blücher, 1999.- SHRIVER, D. F.; ATKINS, P. W. “Química Inorgânica”, Editora Bookman, 4ª edição, 2008.- QUAGLIANO, J. V.; VALLARINO, L. “Química”, Editora Guanabara Koogan, 1973.- MELLOR, J. W. “Química Inorgânica Moderna”, Editora: Globo – Porto Alegre, 1967.- GREENWOOD, N. N.; EARNSHAW, A. “Chemistry of the Elements”, Butterworth Heinemann, 1997.- BUCHEL, K. H.; MORETTO, H. H.; WODITSCH, P. “Industrial Inorganic Chemistry”, Editora Wiley-VCH, 2000.- RAYNER-CANHAM, G.; OVERTON, T. “Química Inorgânica Descritiva”, Editora: Gen-LTC, 5ª edição, 2015.-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