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 I</w:t>
      </w:r>
    </w:p>
    <w:p>
      <w:pPr>
        <w:pStyle w:val="Heading3"/>
      </w:pPr>
      <w:r>
        <w:t>Processing of Ceramics I</w:t>
      </w:r>
    </w:p>
    <w:p/>
    <w:p>
      <w:pPr>
        <w:pStyle w:val="ListNumber"/>
      </w:pPr>
      <w:r>
        <w:t>Créditos-aula: 4</w:t>
        <w:br/>
      </w:r>
      <w:r>
        <w:t>Créditos-trabalho: 0</w:t>
        <w:br/>
      </w:r>
      <w:r>
        <w:t>Carga horária: 60 h</w:t>
        <w:br/>
      </w:r>
      <w:r>
        <w:t>Ativação: 01/01/2020</w:t>
        <w:br/>
      </w:r>
      <w:r>
        <w:t>Departamento: Engenharia de Materiais</w:t>
        <w:br/>
      </w:r>
      <w:r>
        <w:t>Curso (semestre ideal): EM (7)</w:t>
      </w:r>
    </w:p>
    <w:p>
      <w:pPr>
        <w:pStyle w:val="Heading2"/>
      </w:pPr>
      <w:r>
        <w:t>Objetivos</w:t>
      </w:r>
    </w:p>
    <w:p>
      <w:r>
        <w:t>1 - Capacitar o aluno a entender e discutir as teorias e fenômenos envolvidos no processamento cerâmico, 2 - Conhecer as matérias-primas naturais e sintéticas, bem como suas ocorrências e propriedade, 3 - Capacitar o aluno a utilizar instrumentos e métodos que visam transformar matérias-primas cerâmicas em produtos</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Matérias primas naturais e sintéticas, 3 - Preparo de massas cerâmicas, 4 – Conformação, 5 - Variáveis críticas no controle do processamento, 6 – Testes experimentais</w:t>
      </w:r>
    </w:p>
    <w:p>
      <w:pPr>
        <w:pStyle w:val="Heading2"/>
      </w:pPr>
      <w:r>
        <w:t>Programa</w:t>
      </w:r>
    </w:p>
    <w:p>
      <w:r>
        <w:t>1 – Introdução - conceito e definições. História; 2 – Matérias primas - naturais plásticas e não plásticas: origem, ocorrência, propriedades físico-químicas, beneficiamento; 3 – Matérias-primas sintéticas: sínteses e processos químicos; 4 – Caracterização físico-química dos pós cerâmicos; 5 – Aditivos: plastificantes, defloculantes, lubrificantes e agentes suspensores; 6 – Preparo de massas cerâmicas - tipo de massas: branca, vermelha, refratária e especiais; preparo e propriedades reológicas de pastas e suspensões cerâmicas (moagem, tipos de moinhos, carregamento e contaminação - métodos de aglomeração: “spray drier”e disco (misturador Eirich); 7 – Conformação via seca: teoria, tipos; equipamentos, etapas do ciclo de prensagem e defeitos nas peças; 8 – Conformação via líquida e pastas: teoria, estabilidade e reologia das suspensões, diagrama de Atterberg, moldes, equipamentos, etapas do ciclo e defeitos característicos da formação; 9 - Variáveis críticas no controle do processamento - influência das características dos materiais e dos equipamentos no estabelecimento das condições de conformação. 10 – Fundamentos e processos inovadores de conformação de materiais cerâmicos. 11 - Testes experimentais.</w:t>
      </w:r>
    </w:p>
    <w:p>
      <w:pPr>
        <w:pStyle w:val="Heading2"/>
      </w:pPr>
      <w:r>
        <w:t>Avaliação</w:t>
      </w:r>
    </w:p>
    <w:p>
      <w:pPr>
        <w:pStyle w:val="ListBullet"/>
      </w:pPr>
      <w:r>
        <w:rPr>
          <w:b/>
        </w:rPr>
        <w:t xml:space="preserve">Método: </w:t>
      </w:r>
      <w:r>
        <w:t>a) Duas provas escritas (P1 e P2, com peso 1)b) Relatórios sobre os testes experimentais: soma das notas dos relatórios divido pelo número de relatórios (SR), com peso 1.</w:t>
        <w:br/>
      </w:r>
      <w:r>
        <w:rPr>
          <w:b/>
        </w:rPr>
        <w:t xml:space="preserve">Critério: </w:t>
      </w:r>
      <w:r>
        <w:t>Serão aplicadas duas avaliações escritas (P1 e P2, com peso 1). A nota final serão calculada pela equaçãoNF = (P1+P2+MR)/3. 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1989,2. Dispersão e empacotamento de partículas, Fazendo Arte Editorial. Ivone R de Oliveira e co-autores, 2000,3. Norton, F.H. Introdução à Tecnologia Cerâmica, Ed. Edgard Blucher, 1973,4.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2013,9. Fundamentals of Ceramic Powder Processing and Synthesis: Terry A. Ring10. Artigos da literatura especializada</w:t>
      </w:r>
    </w:p>
    <w:p>
      <w:pPr>
        <w:pStyle w:val="Heading2"/>
      </w:pPr>
      <w:r>
        <w:t>Requisitos</w:t>
      </w:r>
    </w:p>
    <w:p>
      <w:pPr>
        <w:pStyle w:val="ListBullet"/>
      </w:pPr>
      <w:r>
        <w:t>LOM3071 -  Tratamento de Minérios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