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LOQ4057 -  Operações Unitárias III  (Requisito fraco)</w:t>
        <w:br/>
      </w:r>
      <w:r>
        <w:t>LOQ4002 -  Reatores Quimicos  (Requisito fraco)</w:t>
        <w:br/>
      </w:r>
      <w:r>
        <w:t>LOB1056 -  Introdução aos Métodos Numéricos e Computacionais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