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(3), EQN (3)</w:t>
      </w:r>
    </w:p>
    <w:p>
      <w:pPr>
        <w:pStyle w:val="Heading2"/>
      </w:pPr>
      <w:r>
        <w:t>Objetivos</w:t>
      </w:r>
    </w:p>
    <w:p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2346890 - Eliane Corrêa Pedrozo</w:t>
      </w:r>
    </w:p>
    <w:p>
      <w:pPr>
        <w:pStyle w:val="Heading2"/>
      </w:pPr>
      <w:r>
        <w:t>Programa resumido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>Programa</w:t>
      </w:r>
    </w:p>
    <w:p/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  <w:br/>
      </w:r>
      <w:r>
        <w:rPr>
          <w:b/>
        </w:rPr>
        <w:t xml:space="preserve">Critério: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Norma de recuperação: </w:t>
      </w:r>
      <w:r>
        <w:t>Nota Final = (Prova Escrita + Média final)/2</w:t>
        <w:br/>
        <w:br/>
        <w:t>Nota Final Mínima para Aprovação = 5,0</w:t>
      </w:r>
    </w:p>
    <w:p>
      <w:pPr>
        <w:pStyle w:val="Heading2"/>
      </w:pPr>
      <w:r>
        <w:t>Bibliografia</w:t>
      </w:r>
    </w:p>
    <w:p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