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EM (6), EA (5), EB (4), EQD (7), EQN (11)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r>
        <w:rPr>
          <w:i/>
        </w:rPr>
        <w:t>To present to the student the concept of an organization and the foundations of its administration; to characterize the various functional areas existing in the organizations; to awaken the interest of the students for management issues.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r>
        <w:rPr>
          <w:i/>
        </w:rPr>
        <w:t>The Administration of Organizations. 2 - The Administrative Process. 3 - Management Processes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r>
        <w:rPr>
          <w:i/>
        </w:rPr>
        <w:t>- The Administration of organizations - defining the administration 2 - The administrative process: planning, organization, direction, control 3 - Management Processes: Marketing, Finance, People Management, Production and Operations, Research and Development, Information Technology, Logistics and Environment.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>LEMOS, Paulo de Mattos et al. Gestão estratégica de empresas. Rio de Janeiro: Fundação Getúlio Vargas, 2014.Ludovico, Nelson. Gestão estratégica de negócios. São Paulo: Saraiva, 2018Serra, Fernando Ribeiro et al. Gestão estratégica: conceitos e casos. São Paulo: Atlas,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