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LOQ4235 -  Tópicos Especiais de Gestão de Negócios</w:t>
      </w:r>
    </w:p>
    <w:p>
      <w:pPr>
        <w:pStyle w:val="Heading3"/>
      </w:pPr>
      <w:r>
        <w:t>Special Topics of Business Management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01/01/2015</w:t>
        <w:br/>
      </w:r>
      <w:r>
        <w:t>Departamento: Engenharia Química</w:t>
        <w:br/>
      </w:r>
      <w:r>
        <w:t>Curso (semestre ideal): EM (9), EB (10), EQD (10), EQN (12)</w:t>
      </w:r>
    </w:p>
    <w:p>
      <w:pPr>
        <w:pStyle w:val="Heading2"/>
      </w:pPr>
      <w:r>
        <w:t>Objetivos</w:t>
      </w:r>
    </w:p>
    <w:p>
      <w:r>
        <w:t>Complementar a formação multidisciplinar dos alunos de Engenharia abordando, com maior profundidade, tópicos atuais e relevantes sobre gestão de negócios.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será de acordo com o tópico a ser programado, devendo abordar assuntos complementares referentes a gestão de negócios relevantes para a formação de um profissional de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Textos fornecidos pelo professor da disciplina</w:t>
        <w:br/>
        <w:t>Artigos extraídos de revistas especializadas na área de gestão e produção.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