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Genetics and Plant Biotechnology</w:t>
      </w:r>
    </w:p>
    <w:p/>
    <w:p>
      <w:pPr>
        <w:pStyle w:val="ListBullet"/>
      </w:pPr>
      <w:r>
        <w:t>Créditos-aula: 3</w:t>
        <w:br/>
      </w:r>
      <w:r>
        <w:t>Créditos-trabalho: 0</w:t>
        <w:br/>
      </w:r>
      <w:r>
        <w:t>Carga horária: 45 h</w:t>
        <w:br/>
      </w:r>
      <w:r>
        <w:t>Ativação: 01/01/2019</w:t>
        <w:br/>
      </w:r>
      <w:r>
        <w:t>Departamento: Biotecnologia</w:t>
        <w:br/>
      </w:r>
      <w:r>
        <w:t>Curso (semestre ideal): EB (7)</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Agrobacterium6. Biolística e outros Métodos de Transformação Genética de Plantas7. Vetores de Transformação de Plantas8. Genes, Características de Interesse e Estratégias Bioctecnológicas para a Engenharia de Plantas9. Risco e Benefícios associados a Plantas Geneticamente Modificadas (GM)10. Biologia Sintética em Plantas</w:t>
      </w:r>
    </w:p>
    <w:p>
      <w:r>
        <w:rPr>
          <w:i/>
        </w:rPr>
        <w:t>1. Introduction in plant biotechnology and agriculture2. Plant physiology and development3. Plant tissue culture4. Eukaryotic gene regulation5. Agrobacterium-mediated plant genetic transformation6. Biolistic and other non-Agrobacterium technologies of plant transformation7. Vectors for plant transformation8. Genes, traits of interest and Biotechnological strategies for engineering plants9. Risk and benefits associated with genetically modified (GM) plants10. Synthetic biology in plants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LOT2008 -  Bioquímica II  (Requisito fraco)</w:t>
        <w:br/>
      </w:r>
      <w:r>
        <w:t>LOT2053 -  Microbiologia  (Requisito fraco)</w:t>
        <w:br/>
      </w:r>
      <w:r>
        <w:t>LOT2040 -  Engenharia Genética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