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Cassio Haruyoshi Kiyohara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CI</w:t>
      </w:r>
    </w:p>
    <w:p/>
    <w:p>
      <w:r>
        <w:rPr>
          <w:b/>
          <w:sz w:val="26"/>
          <w:color w:val="595959"/>
        </w:rPr>
        <w:t>Resumo</w:t>
      </w:r>
    </w:p>
    <w:p>
      <w:r>
        <w:t>Colaborador(a) Cassio Haruyoshi Kiyohara vinculado(a) ao setor CI.</w:t>
      </w:r>
    </w:p>
    <w:p/>
    <w:p>
      <w:r>
        <w:rPr>
          <w:b/>
          <w:sz w:val="26"/>
          <w:color w:val="595959"/>
        </w:rPr>
        <w:t>Itens Adicionados</w:t>
      </w:r>
    </w:p>
  </w:body>
</w:document>
</file>