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Gislaine Maria Estevão Batista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SRCAGER</w:t>
      </w:r>
    </w:p>
    <w:p/>
    <w:p>
      <w:r>
        <w:rPr>
          <w:b/>
          <w:sz w:val="26"/>
          <w:color w:val="595959"/>
        </w:rPr>
        <w:t>Resumo</w:t>
      </w:r>
    </w:p>
    <w:p>
      <w:r>
        <w:t>Colaborador(a) Gislaine Maria Estevão Batista vinculado(a) ao setor SRCAGER.</w:t>
      </w:r>
    </w:p>
    <w:p/>
    <w:p>
      <w:r>
        <w:rPr>
          <w:b/>
          <w:sz w:val="26"/>
          <w:color w:val="595959"/>
        </w:rPr>
        <w:t>Itens Adicionados</w:t>
      </w:r>
    </w:p>
  </w:body>
</w:document>
</file>