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Amanda Patricia Maciel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CGM</w:t>
      </w:r>
    </w:p>
    <w:p/>
    <w:p>
      <w:r>
        <w:rPr>
          <w:b/>
          <w:sz w:val="26"/>
          <w:color w:val="595959"/>
        </w:rPr>
        <w:t>Resumo</w:t>
      </w:r>
    </w:p>
    <w:p>
      <w:r>
        <w:t>Colaborador(a) Amanda Patricia Maciel vinculado(a) ao setor CGM.</w:t>
      </w:r>
    </w:p>
    <w:p/>
    <w:p>
      <w:r>
        <w:rPr>
          <w:b/>
          <w:sz w:val="26"/>
          <w:color w:val="595959"/>
        </w:rPr>
        <w:t>Itens Adicionados</w:t>
      </w:r>
    </w:p>
  </w:body>
</w:document>
</file>