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Ana Karina Marchinski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SRCAGER</w:t>
      </w:r>
    </w:p>
    <w:p/>
    <w:p>
      <w:r>
        <w:rPr>
          <w:b/>
          <w:sz w:val="26"/>
          <w:color w:val="595959"/>
        </w:rPr>
        <w:t>Resumo</w:t>
      </w:r>
    </w:p>
    <w:p>
      <w:r>
        <w:t>Colaborador(a) Ana Karina Marchinski vinculado(a) ao setor SRCAGER.</w:t>
      </w:r>
    </w:p>
    <w:p/>
    <w:p>
      <w:r>
        <w:rPr>
          <w:b/>
          <w:sz w:val="26"/>
          <w:color w:val="595959"/>
        </w:rPr>
        <w:t>Itens Adicionados</w:t>
      </w:r>
    </w:p>
  </w:body>
</w:document>
</file>