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Milene Alves Galvão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SRCAGER</w:t>
      </w:r>
    </w:p>
    <w:p/>
    <w:p>
      <w:r>
        <w:rPr>
          <w:b/>
          <w:sz w:val="26"/>
          <w:color w:val="595959"/>
        </w:rPr>
        <w:t>Resumo</w:t>
      </w:r>
    </w:p>
    <w:p>
      <w:r>
        <w:t>Colaborador(a) Milene Alves Galvão vinculado(a) ao setor SRCAGER.</w:t>
      </w:r>
    </w:p>
    <w:p/>
    <w:p>
      <w:r>
        <w:rPr>
          <w:b/>
          <w:sz w:val="26"/>
          <w:color w:val="595959"/>
        </w:rPr>
        <w:t>Itens Adicionados</w:t>
      </w:r>
    </w:p>
  </w:body>
</w:document>
</file>