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Narayana Rohn Cardozo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CETS</w:t>
      </w:r>
    </w:p>
    <w:p/>
    <w:p>
      <w:r>
        <w:rPr>
          <w:b/>
          <w:sz w:val="26"/>
          <w:color w:val="595959"/>
        </w:rPr>
        <w:t>Resumo</w:t>
      </w:r>
    </w:p>
    <w:p>
      <w:r>
        <w:t>Colaborador(a) Narayana Rohn Cardozo vinculado(a) ao setor CETS.</w:t>
      </w:r>
    </w:p>
    <w:p/>
    <w:p>
      <w:r>
        <w:rPr>
          <w:b/>
          <w:sz w:val="26"/>
          <w:color w:val="595959"/>
        </w:rPr>
        <w:t>Itens Adicionados</w:t>
      </w:r>
    </w:p>
  </w:body>
</w:document>
</file>