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Rafael Rodrigues Teixeira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CGM</w:t>
      </w:r>
    </w:p>
    <w:p/>
    <w:p>
      <w:r>
        <w:rPr>
          <w:b/>
          <w:sz w:val="26"/>
          <w:color w:val="595959"/>
        </w:rPr>
        <w:t>Resumo</w:t>
      </w:r>
    </w:p>
    <w:p>
      <w:r>
        <w:t>Colaborador(a) Rafael Rodrigues Teixeira vinculado(a) ao setor CGM.</w:t>
      </w:r>
    </w:p>
    <w:p/>
    <w:p>
      <w:r>
        <w:rPr>
          <w:b/>
          <w:sz w:val="26"/>
          <w:color w:val="595959"/>
        </w:rPr>
        <w:t>Itens Adicionados</w:t>
      </w:r>
    </w:p>
  </w:body>
</w:document>
</file>