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Thaisa Herrerias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NICS</w:t>
      </w:r>
    </w:p>
    <w:p/>
    <w:p>
      <w:r>
        <w:rPr>
          <w:b/>
          <w:sz w:val="26"/>
          <w:color w:val="595959"/>
        </w:rPr>
        <w:t>Resumo</w:t>
      </w:r>
    </w:p>
    <w:p>
      <w:r>
        <w:t>Colaborador(a) Thaisa Herrerias vinculado(a) ao setor NICS.</w:t>
      </w:r>
    </w:p>
    <w:p/>
    <w:p>
      <w:r>
        <w:rPr>
          <w:b/>
          <w:sz w:val="26"/>
          <w:color w:val="595959"/>
        </w:rPr>
        <w:t>Itens Adicionados</w:t>
      </w:r>
    </w:p>
  </w:body>
</w:document>
</file>