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26FE" w14:textId="77777777" w:rsidR="00BB763C" w:rsidRDefault="00000000">
      <w:pPr>
        <w:spacing w:after="40"/>
      </w:pPr>
      <w:r>
        <w:rPr>
          <w:rFonts w:ascii="Calibri" w:eastAsia="Calibri" w:hAnsi="Calibri" w:cs="Calibri"/>
          <w:b/>
          <w:bCs/>
          <w:color w:val="595959"/>
        </w:rPr>
        <w:t>PROPOSTA COMERCIAL</w:t>
      </w:r>
    </w:p>
    <w:p w14:paraId="1FFBD410" w14:textId="77777777" w:rsidR="00BB763C" w:rsidRDefault="00000000">
      <w:pPr>
        <w:spacing w:after="60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Programa de Desenvolvimento Analítico de Equipes — Pilar 1</w:t>
      </w:r>
    </w:p>
    <w:p w14:paraId="1B0331F9" w14:textId="77777777" w:rsidR="00BB763C" w:rsidRDefault="00000000">
      <w:pPr>
        <w:spacing w:after="300"/>
      </w:pPr>
      <w:r>
        <w:rPr>
          <w:rFonts w:ascii="Calibri" w:eastAsia="Calibri" w:hAnsi="Calibri" w:cs="Calibri"/>
          <w:i/>
          <w:iCs/>
          <w:color w:val="595959"/>
        </w:rPr>
        <w:t xml:space="preserve">Preparado para </w:t>
      </w:r>
      <w:proofErr w:type="spellStart"/>
      <w:proofErr w:type="gramStart"/>
      <w:r>
        <w:rPr>
          <w:rFonts w:ascii="Calibri" w:eastAsia="Calibri" w:hAnsi="Calibri" w:cs="Calibri"/>
          <w:i/>
          <w:iCs/>
          <w:color w:val="595959"/>
        </w:rPr>
        <w:t>Megaju</w:t>
      </w:r>
      <w:proofErr w:type="spellEnd"/>
      <w:r>
        <w:rPr>
          <w:rFonts w:ascii="Calibri" w:eastAsia="Calibri" w:hAnsi="Calibri" w:cs="Calibri"/>
          <w:i/>
          <w:iCs/>
          <w:color w:val="595959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Luiz Fernando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Borges  |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Julho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de 2026</w:t>
      </w:r>
    </w:p>
    <w:p w14:paraId="64A0CDDC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1. Contexto</w:t>
      </w:r>
    </w:p>
    <w:p w14:paraId="080657CD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já possui uma operação estruturada, com presença consolidada em marketplaces, catálogo em evolução e uma equipe comprometida com a execução do dia a dia. O próximo passo natural nesse momento não é reforçar a execução, e sim desenvolver a capacidade da equipe de interpretar dados, identificar oportunidades e sustentar decisões com mais autonomia.</w:t>
      </w:r>
    </w:p>
    <w:p w14:paraId="76631602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Esta proposta trata exclusivamente do Pilar 1 — Desenvolvimento Analítico de Equipes, primeira frente de um programa mais amplo de inteligência comercial e operacional. O objetivo aqui não é substituir ninguém da equipe atual, e sim elevar o nível analítico dela.</w:t>
      </w:r>
    </w:p>
    <w:p w14:paraId="52502FF4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2. Objetivo do Pilar 1</w:t>
      </w:r>
    </w:p>
    <w:p w14:paraId="694C8CC3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Transformar os analistas de marketplace em profissionais capazes de ler indicadores, interpretar resultados, identificar oportunidades, antecipar riscos e apresentar planos de ação sustentados por dados — reduzindo a dependência de decisões centralizadas na diretoria.</w:t>
      </w:r>
    </w:p>
    <w:p w14:paraId="38C10EF9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3. Revisão de processos e procedimentos internos</w:t>
      </w:r>
    </w:p>
    <w:p w14:paraId="61684324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Antes de construir uma estrutura analítica sobre números que podem estar distorcidos na origem, o Pilar 1 começa com um mapeamento dos processos logísticos e procedimentos internos que impactam diretamente os indicadores da operação — recebimento, expedição, cadastro de produtos, controle de estoque e devoluções.</w:t>
      </w:r>
    </w:p>
    <w:p w14:paraId="77E4B05D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O objetivo dessa etapa é identificar gargalos, inconsistências e retrabalhos que hoje afetam a qualidade dos dados e o desempenho nos canais, e apontar ajustes práticos que a própria equipe da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pode implementar. Trata-se de diagnóstico e recomendação — a execução das mudanças operacionais permanece sob responsabilidade da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1B4EDC65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4. O que será trabalhado</w:t>
      </w:r>
    </w:p>
    <w:p w14:paraId="3B69C4DD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Mapeamento de processos logísticos e procedimentos internos (recebimento, expedição, cadastro, estoque, devoluções)</w:t>
      </w:r>
    </w:p>
    <w:p w14:paraId="63B238A3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KPIs de marketplace e leitura de vendas</w:t>
      </w:r>
    </w:p>
    <w:p w14:paraId="4733A3B3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Curva ABC aplicada a produtos e categorias</w:t>
      </w:r>
    </w:p>
    <w:p w14:paraId="231BE5BE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Giro e cobertura de estoque</w:t>
      </w:r>
    </w:p>
    <w:p w14:paraId="00496A17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Margem e rentabilidade por canal</w:t>
      </w:r>
    </w:p>
    <w:p w14:paraId="1B77B373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Análise comparativa entre canais de venda</w:t>
      </w:r>
    </w:p>
    <w:p w14:paraId="5A2BF401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Rituais de acompanhamento e apresentação de resultados</w:t>
      </w:r>
    </w:p>
    <w:p w14:paraId="633CBF8D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Desenvolvimento individual e mentoria de cada analista</w:t>
      </w:r>
    </w:p>
    <w:p w14:paraId="2C8D615C" w14:textId="77777777" w:rsidR="00BB763C" w:rsidRDefault="00BB763C">
      <w:pPr>
        <w:spacing w:after="200"/>
      </w:pPr>
    </w:p>
    <w:p w14:paraId="46DCD7CB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5. Roteiro do projeto</w:t>
      </w:r>
    </w:p>
    <w:p w14:paraId="214F6AA1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O programa é conduzido em quatro etapas mensais, cada uma com um objetivo específico:</w:t>
      </w:r>
    </w:p>
    <w:p w14:paraId="7EBA5AD5" w14:textId="77777777" w:rsidR="00BB763C" w:rsidRDefault="00000000">
      <w:pPr>
        <w:spacing w:after="140" w:line="290" w:lineRule="auto"/>
        <w:jc w:val="both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Mês 1 — Diagnóstico e estruturação. </w:t>
      </w:r>
      <w:r>
        <w:rPr>
          <w:rFonts w:ascii="Calibri" w:eastAsia="Calibri" w:hAnsi="Calibri" w:cs="Calibri"/>
          <w:color w:val="262626"/>
          <w:sz w:val="22"/>
          <w:szCs w:val="22"/>
        </w:rPr>
        <w:t>entendimento do perfil da equipe, das rotinas e dos relatórios existentes; mapeamento dos processos logísticos e procedimentos internos que afetam os indicadores; definição dos KPIs prioritários e do plano de desenvolvimento.</w:t>
      </w:r>
    </w:p>
    <w:p w14:paraId="4E3B8DFF" w14:textId="77777777" w:rsidR="00BB763C" w:rsidRDefault="00000000">
      <w:pPr>
        <w:spacing w:after="140" w:line="290" w:lineRule="auto"/>
        <w:jc w:val="both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Mês 2 — Formação e implantação. </w:t>
      </w:r>
      <w:r>
        <w:rPr>
          <w:rFonts w:ascii="Calibri" w:eastAsia="Calibri" w:hAnsi="Calibri" w:cs="Calibri"/>
          <w:color w:val="262626"/>
          <w:sz w:val="22"/>
          <w:szCs w:val="22"/>
        </w:rPr>
        <w:t>treinamento em indicadores, curva ABC, estoque, giro e margem; implantação dos primeiros rituais de acompanhamento e dos ajustes de processo identificados no diagnóstico.</w:t>
      </w:r>
    </w:p>
    <w:p w14:paraId="5DC349C6" w14:textId="77777777" w:rsidR="00BB763C" w:rsidRDefault="00000000">
      <w:pPr>
        <w:spacing w:after="140" w:line="290" w:lineRule="auto"/>
        <w:jc w:val="both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Mês 3 — Aplicação prática e autonomia assistida. </w:t>
      </w:r>
      <w:r>
        <w:rPr>
          <w:rFonts w:ascii="Calibri" w:eastAsia="Calibri" w:hAnsi="Calibri" w:cs="Calibri"/>
          <w:color w:val="262626"/>
          <w:sz w:val="22"/>
          <w:szCs w:val="22"/>
        </w:rPr>
        <w:t>os analistas passam a produzir análises e apresentar hipóteses, com acompanhamento, correção e feedback individual.</w:t>
      </w:r>
    </w:p>
    <w:p w14:paraId="27F21E7A" w14:textId="77777777" w:rsidR="00BB763C" w:rsidRDefault="00000000">
      <w:pPr>
        <w:spacing w:after="140" w:line="290" w:lineRule="auto"/>
        <w:jc w:val="both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 xml:space="preserve">Mês 4 — Consolidação e transição. </w:t>
      </w:r>
      <w:r>
        <w:rPr>
          <w:rFonts w:ascii="Calibri" w:eastAsia="Calibri" w:hAnsi="Calibri" w:cs="Calibri"/>
          <w:color w:val="262626"/>
          <w:sz w:val="22"/>
          <w:szCs w:val="22"/>
        </w:rPr>
        <w:t>consolidação dos rituais, documentação dos processos, avaliação da evolução e definição dos próximos passos.</w:t>
      </w:r>
    </w:p>
    <w:p w14:paraId="0E87F73B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6. Modelo de atuação</w:t>
      </w:r>
    </w:p>
    <w:p w14:paraId="11243BCC" w14:textId="7777777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Dois encontros presenciais por semana, com cronograma acordado previamente entre as partes, complementados por acompanhamento remoto contínuo:</w:t>
      </w:r>
    </w:p>
    <w:p w14:paraId="3616BEC7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Dois encontros presenciais semanais na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</w:p>
    <w:p w14:paraId="21A19E94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Suporte via WhatsApp em horário comercial, para dúvidas e orientações rápidas</w:t>
      </w:r>
    </w:p>
    <w:p w14:paraId="504D55C7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Preparação de materiais de apoio e modelos de análise</w:t>
      </w:r>
    </w:p>
    <w:p w14:paraId="41E08E1B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Revisão periódica de relatórios e indicadores entre os encontros</w:t>
      </w:r>
    </w:p>
    <w:p w14:paraId="5EB88157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Reunião mensal de evolução, com retorno objetivo do progresso da equipe</w:t>
      </w:r>
    </w:p>
    <w:p w14:paraId="6746D725" w14:textId="77777777" w:rsidR="00BB763C" w:rsidRDefault="00BB763C">
      <w:pPr>
        <w:spacing w:after="200"/>
      </w:pPr>
    </w:p>
    <w:p w14:paraId="23B89FE7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7. Investimento</w:t>
      </w:r>
    </w:p>
    <w:p w14:paraId="7CDB2540" w14:textId="0561F2ED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O investimento é calculado por encontro presencial realizado, com valor de R$ 4</w:t>
      </w:r>
      <w:r w:rsidR="00EB4786">
        <w:rPr>
          <w:rFonts w:ascii="Calibri" w:eastAsia="Calibri" w:hAnsi="Calibri" w:cs="Calibri"/>
          <w:color w:val="262626"/>
          <w:sz w:val="22"/>
          <w:szCs w:val="22"/>
        </w:rPr>
        <w:t>0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0,00 por encontro. Com dois encontros semanais, considerando aproximadamente </w:t>
      </w:r>
      <w:r w:rsidR="00133A6E">
        <w:rPr>
          <w:rFonts w:ascii="Calibri" w:eastAsia="Calibri" w:hAnsi="Calibri" w:cs="Calibri"/>
          <w:color w:val="262626"/>
          <w:sz w:val="22"/>
          <w:szCs w:val="22"/>
        </w:rPr>
        <w:t>2x na semana</w:t>
      </w:r>
      <w:r w:rsidR="00827AE5">
        <w:rPr>
          <w:rFonts w:ascii="Calibri" w:eastAsia="Calibri" w:hAnsi="Calibri" w:cs="Calibri"/>
          <w:color w:val="262626"/>
          <w:sz w:val="22"/>
          <w:szCs w:val="22"/>
        </w:rPr>
        <w:t xml:space="preserve"> mínimos</w:t>
      </w:r>
      <w:r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7E30FB43" w14:textId="504E70A4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>O valor por encontro inclui a preparação prévia, o material utilizado, a condução da atividade e o acompanhamento remoto associado àquela semana</w:t>
      </w:r>
      <w:r w:rsidR="00827AE5">
        <w:rPr>
          <w:rFonts w:ascii="Calibri" w:eastAsia="Calibri" w:hAnsi="Calibri" w:cs="Calibri"/>
          <w:color w:val="262626"/>
          <w:sz w:val="22"/>
          <w:szCs w:val="22"/>
        </w:rPr>
        <w:t xml:space="preserve">, 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não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se</w:t>
      </w:r>
      <w:r w:rsidR="00827AE5">
        <w:rPr>
          <w:rFonts w:ascii="Calibri" w:eastAsia="Calibri" w:hAnsi="Calibri" w:cs="Calibri"/>
          <w:color w:val="262626"/>
          <w:sz w:val="22"/>
          <w:szCs w:val="22"/>
        </w:rPr>
        <w:t>endo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apenas do tempo presencial.</w:t>
      </w:r>
    </w:p>
    <w:p w14:paraId="382432A6" w14:textId="615CF4D7" w:rsidR="00BB763C" w:rsidRDefault="00000000">
      <w:pPr>
        <w:spacing w:after="180" w:line="300" w:lineRule="auto"/>
        <w:jc w:val="both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Pagamento </w:t>
      </w:r>
      <w:r w:rsidR="00BC5B1B">
        <w:rPr>
          <w:rFonts w:ascii="Calibri" w:eastAsia="Calibri" w:hAnsi="Calibri" w:cs="Calibri"/>
          <w:color w:val="262626"/>
          <w:sz w:val="22"/>
          <w:szCs w:val="22"/>
        </w:rPr>
        <w:t>quinzenal</w:t>
      </w:r>
      <w:r>
        <w:rPr>
          <w:rFonts w:ascii="Calibri" w:eastAsia="Calibri" w:hAnsi="Calibri" w:cs="Calibri"/>
          <w:color w:val="262626"/>
          <w:sz w:val="22"/>
          <w:szCs w:val="22"/>
        </w:rPr>
        <w:t>,</w:t>
      </w:r>
      <w:r w:rsidR="00BC5B1B">
        <w:rPr>
          <w:rFonts w:ascii="Calibri" w:eastAsia="Calibri" w:hAnsi="Calibri" w:cs="Calibri"/>
          <w:color w:val="262626"/>
          <w:sz w:val="22"/>
          <w:szCs w:val="22"/>
        </w:rPr>
        <w:t xml:space="preserve"> após emissão da nota fiscal,</w:t>
      </w:r>
      <w:r>
        <w:rPr>
          <w:rFonts w:ascii="Calibri" w:eastAsia="Calibri" w:hAnsi="Calibri" w:cs="Calibri"/>
          <w:color w:val="262626"/>
          <w:sz w:val="22"/>
          <w:szCs w:val="22"/>
        </w:rPr>
        <w:t xml:space="preserve"> referente aos encontros do mês corrente.</w:t>
      </w:r>
    </w:p>
    <w:p w14:paraId="5FB7E724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8. Duração e continuidade</w:t>
      </w:r>
    </w:p>
    <w:p w14:paraId="2D2B2BF1" w14:textId="7CBFD51D" w:rsidR="00133A6E" w:rsidRDefault="00000000">
      <w:pPr>
        <w:spacing w:after="180" w:line="300" w:lineRule="auto"/>
        <w:jc w:val="both"/>
        <w:rPr>
          <w:rFonts w:ascii="Calibri" w:eastAsia="Calibri" w:hAnsi="Calibri" w:cs="Calibri"/>
          <w:color w:val="262626"/>
          <w:sz w:val="22"/>
          <w:szCs w:val="22"/>
        </w:rPr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Ciclo inicial de quatro meses. Ao final desse período, será realizada uma reunião de encerramento e avaliação, na qual 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 xml:space="preserve"> poderá optar por encerrar o acompanhamento, manter uma frequência reduzida de manutenção, ou avançar para as próximas frentes do programa (categorias e mix, importação e expansão, ou governança e indicadores).</w:t>
      </w:r>
    </w:p>
    <w:p w14:paraId="665FB4A5" w14:textId="77777777" w:rsidR="00133A6E" w:rsidRDefault="00133A6E">
      <w:pPr>
        <w:rPr>
          <w:rFonts w:ascii="Calibri" w:eastAsia="Calibri" w:hAnsi="Calibri" w:cs="Calibri"/>
          <w:color w:val="262626"/>
          <w:sz w:val="22"/>
          <w:szCs w:val="22"/>
        </w:rPr>
      </w:pPr>
      <w:r>
        <w:rPr>
          <w:rFonts w:ascii="Calibri" w:eastAsia="Calibri" w:hAnsi="Calibri" w:cs="Calibri"/>
          <w:color w:val="262626"/>
          <w:sz w:val="22"/>
          <w:szCs w:val="22"/>
        </w:rPr>
        <w:br w:type="page"/>
      </w:r>
    </w:p>
    <w:p w14:paraId="6C418A8C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lastRenderedPageBreak/>
        <w:t>9. Condições gerais</w:t>
      </w:r>
    </w:p>
    <w:p w14:paraId="296D206F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A atuação não é exclusiva nem envolve vínculo empregatício.</w:t>
      </w:r>
    </w:p>
    <w:p w14:paraId="5A821AAA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 xml:space="preserve">O escopo inclui o diagnóstico e a recomendação sobre processos logísticos e o desenvolvimento analítico da equipe — não inclui a execução das mudanças operacionais nem a gestão do dia a dia, que continuam sob responsabilidade da </w:t>
      </w:r>
      <w:proofErr w:type="spellStart"/>
      <w:r>
        <w:rPr>
          <w:rFonts w:ascii="Calibri" w:eastAsia="Calibri" w:hAnsi="Calibri" w:cs="Calibri"/>
          <w:color w:val="262626"/>
          <w:sz w:val="22"/>
          <w:szCs w:val="22"/>
        </w:rPr>
        <w:t>Megaju</w:t>
      </w:r>
      <w:proofErr w:type="spellEnd"/>
      <w:r>
        <w:rPr>
          <w:rFonts w:ascii="Calibri" w:eastAsia="Calibri" w:hAnsi="Calibri" w:cs="Calibri"/>
          <w:color w:val="262626"/>
          <w:sz w:val="22"/>
          <w:szCs w:val="22"/>
        </w:rPr>
        <w:t>.</w:t>
      </w:r>
    </w:p>
    <w:p w14:paraId="4C45CB84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Remarcações de encontros devem ser combinadas com antecedência.</w:t>
      </w:r>
    </w:p>
    <w:p w14:paraId="2C9D660A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Este documento trata apenas do Pilar 1; demais frentes do programa podem ser propostas separadamente, conforme interesse futuro.</w:t>
      </w:r>
    </w:p>
    <w:p w14:paraId="2D60545E" w14:textId="77777777" w:rsidR="00BB763C" w:rsidRDefault="00BB763C">
      <w:pPr>
        <w:spacing w:after="200"/>
      </w:pPr>
    </w:p>
    <w:p w14:paraId="63915F9B" w14:textId="77777777" w:rsidR="00BB763C" w:rsidRDefault="00000000">
      <w:pPr>
        <w:pStyle w:val="Ttulo1"/>
        <w:pBdr>
          <w:bottom w:val="single" w:sz="6" w:space="4" w:color="1F3864"/>
        </w:pBdr>
        <w:spacing w:before="32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10. Próximos passos</w:t>
      </w:r>
    </w:p>
    <w:p w14:paraId="5B0DA5C2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Aceite da proposta</w:t>
      </w:r>
    </w:p>
    <w:p w14:paraId="359CE542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Definição do cronograma semanal dos encontros</w:t>
      </w:r>
    </w:p>
    <w:p w14:paraId="5F13F063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Entrevistas iniciais com a equipe</w:t>
      </w:r>
    </w:p>
    <w:p w14:paraId="1AF9F6E2" w14:textId="77777777" w:rsidR="00BB763C" w:rsidRDefault="00000000">
      <w:pPr>
        <w:pStyle w:val="PargrafodaLista"/>
        <w:numPr>
          <w:ilvl w:val="0"/>
          <w:numId w:val="2"/>
        </w:numPr>
        <w:spacing w:after="90"/>
      </w:pPr>
      <w:r>
        <w:rPr>
          <w:rFonts w:ascii="Calibri" w:eastAsia="Calibri" w:hAnsi="Calibri" w:cs="Calibri"/>
          <w:color w:val="262626"/>
          <w:sz w:val="22"/>
          <w:szCs w:val="22"/>
        </w:rPr>
        <w:t>Início do diagnóstico</w:t>
      </w:r>
    </w:p>
    <w:p w14:paraId="02810BAE" w14:textId="77777777" w:rsidR="00BB763C" w:rsidRDefault="00000000">
      <w:pPr>
        <w:spacing w:before="4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Luiz Fernando Borges</w:t>
      </w:r>
    </w:p>
    <w:p w14:paraId="2BA9C1F1" w14:textId="77777777" w:rsidR="00BB763C" w:rsidRDefault="00000000">
      <w:r>
        <w:rPr>
          <w:rFonts w:ascii="Calibri" w:eastAsia="Calibri" w:hAnsi="Calibri" w:cs="Calibri"/>
          <w:color w:val="595959"/>
        </w:rPr>
        <w:t>lf.borges.lima@gmail.com</w:t>
      </w:r>
    </w:p>
    <w:sectPr w:rsidR="00BB763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C2793"/>
    <w:multiLevelType w:val="hybridMultilevel"/>
    <w:tmpl w:val="DAAEF808"/>
    <w:lvl w:ilvl="0" w:tplc="CE4A7FDC">
      <w:start w:val="1"/>
      <w:numFmt w:val="bullet"/>
      <w:lvlText w:val="•"/>
      <w:lvlJc w:val="left"/>
      <w:pPr>
        <w:ind w:left="420" w:hanging="260"/>
      </w:pPr>
    </w:lvl>
    <w:lvl w:ilvl="1" w:tplc="9C1084B4">
      <w:numFmt w:val="decimal"/>
      <w:lvlText w:val=""/>
      <w:lvlJc w:val="left"/>
    </w:lvl>
    <w:lvl w:ilvl="2" w:tplc="7E6C6C5E">
      <w:numFmt w:val="decimal"/>
      <w:lvlText w:val=""/>
      <w:lvlJc w:val="left"/>
    </w:lvl>
    <w:lvl w:ilvl="3" w:tplc="E1A64016">
      <w:numFmt w:val="decimal"/>
      <w:lvlText w:val=""/>
      <w:lvlJc w:val="left"/>
    </w:lvl>
    <w:lvl w:ilvl="4" w:tplc="20584CCE">
      <w:numFmt w:val="decimal"/>
      <w:lvlText w:val=""/>
      <w:lvlJc w:val="left"/>
    </w:lvl>
    <w:lvl w:ilvl="5" w:tplc="F3386E3A">
      <w:numFmt w:val="decimal"/>
      <w:lvlText w:val=""/>
      <w:lvlJc w:val="left"/>
    </w:lvl>
    <w:lvl w:ilvl="6" w:tplc="31AE5B7E">
      <w:numFmt w:val="decimal"/>
      <w:lvlText w:val=""/>
      <w:lvlJc w:val="left"/>
    </w:lvl>
    <w:lvl w:ilvl="7" w:tplc="4A900C0A">
      <w:numFmt w:val="decimal"/>
      <w:lvlText w:val=""/>
      <w:lvlJc w:val="left"/>
    </w:lvl>
    <w:lvl w:ilvl="8" w:tplc="2DBE3BEA">
      <w:numFmt w:val="decimal"/>
      <w:lvlText w:val=""/>
      <w:lvlJc w:val="left"/>
    </w:lvl>
  </w:abstractNum>
  <w:abstractNum w:abstractNumId="1" w15:restartNumberingAfterBreak="0">
    <w:nsid w:val="4D9F054C"/>
    <w:multiLevelType w:val="hybridMultilevel"/>
    <w:tmpl w:val="5C9436FA"/>
    <w:lvl w:ilvl="0" w:tplc="A43CFB1A">
      <w:start w:val="1"/>
      <w:numFmt w:val="bullet"/>
      <w:lvlText w:val="●"/>
      <w:lvlJc w:val="left"/>
      <w:pPr>
        <w:ind w:left="720" w:hanging="360"/>
      </w:pPr>
    </w:lvl>
    <w:lvl w:ilvl="1" w:tplc="AB042994">
      <w:start w:val="1"/>
      <w:numFmt w:val="bullet"/>
      <w:lvlText w:val="○"/>
      <w:lvlJc w:val="left"/>
      <w:pPr>
        <w:ind w:left="1440" w:hanging="360"/>
      </w:pPr>
    </w:lvl>
    <w:lvl w:ilvl="2" w:tplc="87CE83D8">
      <w:start w:val="1"/>
      <w:numFmt w:val="bullet"/>
      <w:lvlText w:val="■"/>
      <w:lvlJc w:val="left"/>
      <w:pPr>
        <w:ind w:left="2160" w:hanging="360"/>
      </w:pPr>
    </w:lvl>
    <w:lvl w:ilvl="3" w:tplc="94D4094A">
      <w:start w:val="1"/>
      <w:numFmt w:val="bullet"/>
      <w:lvlText w:val="●"/>
      <w:lvlJc w:val="left"/>
      <w:pPr>
        <w:ind w:left="2880" w:hanging="360"/>
      </w:pPr>
    </w:lvl>
    <w:lvl w:ilvl="4" w:tplc="DD7EEC14">
      <w:start w:val="1"/>
      <w:numFmt w:val="bullet"/>
      <w:lvlText w:val="○"/>
      <w:lvlJc w:val="left"/>
      <w:pPr>
        <w:ind w:left="3600" w:hanging="360"/>
      </w:pPr>
    </w:lvl>
    <w:lvl w:ilvl="5" w:tplc="802EDD3C">
      <w:start w:val="1"/>
      <w:numFmt w:val="bullet"/>
      <w:lvlText w:val="■"/>
      <w:lvlJc w:val="left"/>
      <w:pPr>
        <w:ind w:left="4320" w:hanging="360"/>
      </w:pPr>
    </w:lvl>
    <w:lvl w:ilvl="6" w:tplc="FD5A138C">
      <w:start w:val="1"/>
      <w:numFmt w:val="bullet"/>
      <w:lvlText w:val="●"/>
      <w:lvlJc w:val="left"/>
      <w:pPr>
        <w:ind w:left="5040" w:hanging="360"/>
      </w:pPr>
    </w:lvl>
    <w:lvl w:ilvl="7" w:tplc="6310D574">
      <w:start w:val="1"/>
      <w:numFmt w:val="bullet"/>
      <w:lvlText w:val="●"/>
      <w:lvlJc w:val="left"/>
      <w:pPr>
        <w:ind w:left="5760" w:hanging="360"/>
      </w:pPr>
    </w:lvl>
    <w:lvl w:ilvl="8" w:tplc="75C0AD8C">
      <w:start w:val="1"/>
      <w:numFmt w:val="bullet"/>
      <w:lvlText w:val="●"/>
      <w:lvlJc w:val="left"/>
      <w:pPr>
        <w:ind w:left="6480" w:hanging="360"/>
      </w:pPr>
    </w:lvl>
  </w:abstractNum>
  <w:num w:numId="1" w16cid:durableId="732196318">
    <w:abstractNumId w:val="1"/>
    <w:lvlOverride w:ilvl="0">
      <w:startOverride w:val="1"/>
    </w:lvlOverride>
  </w:num>
  <w:num w:numId="2" w16cid:durableId="1235241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63C"/>
    <w:rsid w:val="00133A6E"/>
    <w:rsid w:val="00827AE5"/>
    <w:rsid w:val="008F5FE3"/>
    <w:rsid w:val="00BB763C"/>
    <w:rsid w:val="00BC5B1B"/>
    <w:rsid w:val="00EB4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F6F5F"/>
  <w15:docId w15:val="{870FDA3B-126D-41F6-AEF9-F9DE34DDB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3</Pages>
  <Words>797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Debora Marques Almeida</cp:lastModifiedBy>
  <cp:revision>3</cp:revision>
  <dcterms:created xsi:type="dcterms:W3CDTF">2026-07-15T22:17:00Z</dcterms:created>
  <dcterms:modified xsi:type="dcterms:W3CDTF">2026-07-16T12:47:00Z</dcterms:modified>
</cp:coreProperties>
</file>