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E374F" w:rsidRDefault="008E374F" w14:paraId="4DCBC068" w14:textId="77777777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eastAsia="MS Mincho"/>
          <w:b/>
          <w:bCs/>
          <w:lang w:eastAsia="ar-SA"/>
        </w:rPr>
      </w:pPr>
    </w:p>
    <w:p w:rsidR="008E374F" w:rsidRDefault="008E374F" w14:paraId="1CA12BA7" w14:textId="77777777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eastAsia="MS Mincho"/>
          <w:b/>
          <w:bCs/>
          <w:lang w:eastAsia="ar-SA"/>
        </w:rPr>
      </w:pPr>
    </w:p>
    <w:p w:rsidR="008E374F" w:rsidRDefault="008E374F" w14:paraId="6E145F49" w14:textId="77777777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eastAsia="MS Mincho"/>
          <w:b/>
          <w:bCs/>
          <w:lang w:eastAsia="ar-SA"/>
        </w:rPr>
      </w:pPr>
    </w:p>
    <w:p w:rsidR="008E374F" w:rsidRDefault="008E374F" w14:paraId="1E986783" w14:textId="77777777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eastAsia="MS Mincho"/>
          <w:b/>
          <w:bCs/>
          <w:lang w:eastAsia="ar-SA"/>
        </w:rPr>
      </w:pPr>
    </w:p>
    <w:p w:rsidR="008E374F" w:rsidRDefault="008E374F" w14:paraId="57C7C6F5" w14:textId="77777777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eastAsia="MS Mincho"/>
          <w:b/>
          <w:bCs/>
          <w:lang w:eastAsia="ar-SA"/>
        </w:rPr>
      </w:pPr>
    </w:p>
    <w:p w:rsidR="008E374F" w:rsidRDefault="009334CA" w14:paraId="262891F4" w14:textId="77777777">
      <w:pPr>
        <w:pStyle w:val="Textbody"/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sz w:val="52"/>
          <w:lang w:eastAsia="ar-SA"/>
        </w:rPr>
      </w:pPr>
      <w:r>
        <w:rPr>
          <w:rFonts w:ascii="Calibri" w:hAnsi="Calibri" w:eastAsia="MS Mincho"/>
          <w:b/>
          <w:bCs/>
          <w:sz w:val="52"/>
          <w:lang w:eastAsia="ar-SA"/>
        </w:rPr>
        <w:tab/>
      </w:r>
      <w:r>
        <w:rPr>
          <w:rFonts w:ascii="Calibri" w:hAnsi="Calibri" w:eastAsia="MS Mincho"/>
          <w:b/>
          <w:bCs/>
          <w:sz w:val="52"/>
          <w:lang w:eastAsia="ar-SA"/>
        </w:rPr>
        <w:t>MAPA DE GERENCIAMENTO DE RISCOS</w:t>
      </w:r>
    </w:p>
    <w:p w:rsidR="008E374F" w:rsidRDefault="008E374F" w14:paraId="7D73F529" w14:textId="77777777">
      <w:pPr>
        <w:pStyle w:val="Textbody"/>
        <w:spacing w:before="240" w:after="200" w:line="360" w:lineRule="auto"/>
        <w:jc w:val="center"/>
        <w:rPr>
          <w:rFonts w:ascii="Calibri" w:hAnsi="Calibri"/>
          <w:b/>
          <w:sz w:val="28"/>
        </w:rPr>
      </w:pPr>
    </w:p>
    <w:p w:rsidR="008E374F" w:rsidRDefault="009334CA" w14:paraId="64911696" w14:textId="77777777">
      <w:pPr>
        <w:pStyle w:val="Textbody"/>
        <w:spacing w:before="240" w:after="200" w:line="360" w:lineRule="auto"/>
        <w:jc w:val="center"/>
      </w:pPr>
      <w:r>
        <w:rPr>
          <w:rFonts w:ascii="Calibri" w:hAnsi="Calibri"/>
          <w:b/>
          <w:sz w:val="28"/>
        </w:rPr>
        <w:t xml:space="preserve">Processo Administrativo nº </w:t>
      </w:r>
      <w:r>
        <w:rPr>
          <w:rFonts w:ascii="Calibri" w:hAnsi="Calibri"/>
          <w:b/>
          <w:color w:val="FF3333"/>
          <w:sz w:val="28"/>
        </w:rPr>
        <w:t>&lt;XXXXXXXX&gt;</w:t>
      </w:r>
    </w:p>
    <w:p w:rsidR="008E374F" w:rsidRDefault="008E374F" w14:paraId="2D1C5987" w14:textId="77777777">
      <w:pPr>
        <w:pStyle w:val="Textbody"/>
        <w:spacing w:after="0"/>
        <w:jc w:val="center"/>
        <w:rPr>
          <w:rFonts w:ascii="Calibri" w:hAnsi="Calibri"/>
        </w:rPr>
      </w:pPr>
    </w:p>
    <w:p w:rsidR="008E374F" w:rsidRDefault="008E374F" w14:paraId="33A34C23" w14:textId="77777777">
      <w:pPr>
        <w:pStyle w:val="Textbody"/>
        <w:spacing w:after="0"/>
        <w:jc w:val="center"/>
        <w:rPr>
          <w:rFonts w:ascii="Calibri" w:hAnsi="Calibri"/>
        </w:rPr>
      </w:pPr>
    </w:p>
    <w:p w:rsidR="008E374F" w:rsidRDefault="008E374F" w14:paraId="1AACA81E" w14:textId="77777777">
      <w:pPr>
        <w:pStyle w:val="Textbody"/>
        <w:spacing w:after="0"/>
        <w:jc w:val="center"/>
        <w:rPr>
          <w:rFonts w:ascii="Calibri" w:hAnsi="Calibri"/>
        </w:rPr>
      </w:pPr>
    </w:p>
    <w:p w:rsidR="008E374F" w:rsidRDefault="008E374F" w14:paraId="6CBA52B9" w14:textId="77777777">
      <w:pPr>
        <w:pStyle w:val="Textbody"/>
        <w:spacing w:after="0"/>
        <w:jc w:val="center"/>
        <w:rPr>
          <w:rFonts w:ascii="Calibri" w:hAnsi="Calibri"/>
        </w:rPr>
      </w:pPr>
    </w:p>
    <w:p w:rsidR="008E374F" w:rsidRDefault="008E374F" w14:paraId="43047C84" w14:textId="77777777">
      <w:pPr>
        <w:pStyle w:val="Textbody"/>
        <w:spacing w:after="0"/>
        <w:jc w:val="center"/>
        <w:rPr>
          <w:rFonts w:ascii="Calibri" w:hAnsi="Calibri"/>
        </w:rPr>
      </w:pPr>
    </w:p>
    <w:p w:rsidR="008E374F" w:rsidRDefault="009334CA" w14:paraId="1E29B0CB" w14:textId="77777777">
      <w:pPr>
        <w:pStyle w:val="Textbody"/>
        <w:spacing w:before="120" w:after="200" w:line="360" w:lineRule="auto"/>
        <w:jc w:val="center"/>
        <w:rPr>
          <w:rFonts w:ascii="Calibri" w:hAnsi="Calibri"/>
          <w:color w:val="FF3333"/>
          <w:sz w:val="52"/>
          <w:szCs w:val="52"/>
        </w:rPr>
      </w:pPr>
      <w:r>
        <w:rPr>
          <w:rFonts w:ascii="Calibri" w:hAnsi="Calibri"/>
          <w:color w:val="FF3333"/>
          <w:sz w:val="52"/>
          <w:szCs w:val="52"/>
        </w:rPr>
        <w:t>&lt;Nome do Projeto / Solução&gt;</w:t>
      </w:r>
    </w:p>
    <w:p w:rsidR="008E374F" w:rsidRDefault="008E374F" w14:paraId="4070113F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26526BE4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4301C0AD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35498530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60876232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44CEF740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52F018FB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5FFB4101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44F9ABD0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39412C58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144F0762" w14:textId="77777777">
      <w:pPr>
        <w:pStyle w:val="Textbody"/>
        <w:spacing w:after="0"/>
        <w:rPr>
          <w:rFonts w:ascii="Calibri" w:hAnsi="Calibri"/>
        </w:rPr>
      </w:pPr>
    </w:p>
    <w:p w:rsidR="008E374F" w:rsidRDefault="008E374F" w14:paraId="36DB0528" w14:textId="77777777">
      <w:pPr>
        <w:pStyle w:val="Textbody"/>
        <w:spacing w:after="0"/>
        <w:rPr>
          <w:rFonts w:ascii="Calibri" w:hAnsi="Calibri"/>
        </w:rPr>
      </w:pPr>
    </w:p>
    <w:p w:rsidR="008E374F" w:rsidRDefault="009334CA" w14:paraId="0B619F1C" w14:textId="77777777">
      <w:pPr>
        <w:pStyle w:val="Textbody"/>
        <w:tabs>
          <w:tab w:val="left" w:pos="800"/>
          <w:tab w:val="right" w:leader="dot" w:pos="9629"/>
        </w:tabs>
        <w:spacing w:before="120" w:after="200" w:line="360" w:lineRule="auto"/>
        <w:jc w:val="center"/>
      </w:pPr>
      <w:r>
        <w:rPr>
          <w:rFonts w:ascii="Calibri" w:hAnsi="Calibri" w:eastAsia="MS Mincho"/>
          <w:b/>
          <w:bCs/>
          <w:color w:val="FF3333"/>
          <w:lang w:eastAsia="ar-SA"/>
        </w:rPr>
        <w:t>&lt;Local&gt;</w:t>
      </w:r>
      <w:r>
        <w:rPr>
          <w:rFonts w:ascii="Calibri" w:hAnsi="Calibri" w:eastAsia="MS Mincho"/>
          <w:b/>
          <w:bCs/>
          <w:lang w:eastAsia="ar-SA"/>
        </w:rPr>
        <w:t xml:space="preserve">, </w:t>
      </w:r>
      <w:r>
        <w:rPr>
          <w:rFonts w:ascii="Calibri" w:hAnsi="Calibri" w:eastAsia="MS Mincho"/>
          <w:b/>
          <w:bCs/>
          <w:color w:val="FF3333"/>
          <w:lang w:eastAsia="ar-SA"/>
        </w:rPr>
        <w:t>&lt;mês&gt;</w:t>
      </w:r>
      <w:r>
        <w:rPr>
          <w:rFonts w:ascii="Calibri" w:hAnsi="Calibri" w:eastAsia="MS Mincho"/>
          <w:b/>
          <w:bCs/>
          <w:lang w:eastAsia="ar-SA"/>
        </w:rPr>
        <w:t xml:space="preserve"> de </w:t>
      </w:r>
      <w:r>
        <w:rPr>
          <w:rFonts w:ascii="Calibri" w:hAnsi="Calibri" w:eastAsia="MS Mincho"/>
          <w:b/>
          <w:bCs/>
          <w:color w:val="FF3333"/>
          <w:lang w:eastAsia="ar-SA"/>
        </w:rPr>
        <w:t>&lt;ano&gt;</w:t>
      </w:r>
    </w:p>
    <w:p w:rsidR="008E374F" w:rsidRDefault="009334CA" w14:paraId="3B21A4E7" w14:textId="77777777">
      <w:pPr>
        <w:pageBreakBefore/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8E374F" w:rsidRDefault="008E374F" w14:paraId="14C00072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tbl>
      <w:tblPr>
        <w:tblW w:w="9355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8"/>
        <w:gridCol w:w="850"/>
        <w:gridCol w:w="4072"/>
        <w:gridCol w:w="1425"/>
        <w:gridCol w:w="1580"/>
      </w:tblGrid>
      <w:tr w:rsidR="008E374F" w14:paraId="44F4E0C2" w14:textId="77777777">
        <w:tc>
          <w:tcPr>
            <w:tcW w:w="142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4DDD6AE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5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D818CB4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07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DFFB7C6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42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639ED6F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Fase*</w:t>
            </w:r>
          </w:p>
        </w:tc>
        <w:tc>
          <w:tcPr>
            <w:tcW w:w="158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756B89B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8E374F" w14:paraId="331E29C0" w14:textId="77777777">
        <w:tc>
          <w:tcPr>
            <w:tcW w:w="142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15F5323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FF0000"/>
                <w:sz w:val="20"/>
                <w:szCs w:val="20"/>
              </w:rPr>
              <w:t>DD/MM/AAAA</w:t>
            </w:r>
          </w:p>
        </w:tc>
        <w:tc>
          <w:tcPr>
            <w:tcW w:w="85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1052554" w14:textId="77777777">
            <w:pPr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1.0</w:t>
            </w:r>
          </w:p>
        </w:tc>
        <w:tc>
          <w:tcPr>
            <w:tcW w:w="4072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D75E985" w14:textId="77777777">
            <w:pPr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Finalização da primeira versão do documento.</w:t>
            </w:r>
          </w:p>
        </w:tc>
        <w:tc>
          <w:tcPr>
            <w:tcW w:w="1425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F8C8F19" w14:textId="77777777">
            <w:pPr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PCTIC</w:t>
            </w:r>
          </w:p>
        </w:tc>
        <w:tc>
          <w:tcPr>
            <w:tcW w:w="1580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E5A8E9E" w14:textId="77777777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XXXXXXXXXXXX</w:t>
            </w:r>
          </w:p>
        </w:tc>
      </w:tr>
      <w:tr w:rsidR="008E374F" w14:paraId="38C58CBD" w14:textId="77777777">
        <w:tc>
          <w:tcPr>
            <w:tcW w:w="142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734893D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FF0000"/>
                <w:sz w:val="20"/>
                <w:szCs w:val="20"/>
              </w:rPr>
              <w:t>DD/MM/AAAA</w:t>
            </w:r>
          </w:p>
        </w:tc>
        <w:tc>
          <w:tcPr>
            <w:tcW w:w="85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5819E83" w14:textId="77777777">
            <w:pPr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2.0</w:t>
            </w:r>
          </w:p>
        </w:tc>
        <w:tc>
          <w:tcPr>
            <w:tcW w:w="4072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8AAC7A7" w14:textId="77777777">
            <w:pPr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Revisão do documento após análise jurídica.</w:t>
            </w:r>
          </w:p>
        </w:tc>
        <w:tc>
          <w:tcPr>
            <w:tcW w:w="1425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ABA371F" w14:textId="77777777">
            <w:pPr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PCTIC</w:t>
            </w:r>
          </w:p>
        </w:tc>
        <w:tc>
          <w:tcPr>
            <w:tcW w:w="1580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4E17800" w14:textId="77777777">
            <w:pPr>
              <w:jc w:val="center"/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XXXXXXXXXXXX</w:t>
            </w:r>
          </w:p>
        </w:tc>
      </w:tr>
      <w:tr w:rsidR="008E374F" w14:paraId="24ACB796" w14:textId="77777777">
        <w:tc>
          <w:tcPr>
            <w:tcW w:w="142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DB5085A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FF0000"/>
                <w:sz w:val="20"/>
                <w:szCs w:val="20"/>
              </w:rPr>
              <w:t>DD/MM/AAAA</w:t>
            </w:r>
          </w:p>
        </w:tc>
        <w:tc>
          <w:tcPr>
            <w:tcW w:w="85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50E286D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3333"/>
                <w:sz w:val="20"/>
                <w:szCs w:val="20"/>
              </w:rPr>
            </w:pPr>
            <w:r>
              <w:rPr>
                <w:rFonts w:ascii="Calibri" w:hAnsi="Calibri" w:cs="Times New Roman"/>
                <w:color w:val="FF3333"/>
                <w:sz w:val="20"/>
                <w:szCs w:val="20"/>
              </w:rPr>
              <w:t>XX</w:t>
            </w:r>
          </w:p>
        </w:tc>
        <w:tc>
          <w:tcPr>
            <w:tcW w:w="4072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B31E598" w14:textId="77777777">
            <w:pPr>
              <w:pStyle w:val="EPConteudotabela"/>
              <w:spacing w:line="240" w:lineRule="auto"/>
              <w:ind w:left="0" w:firstLine="0"/>
              <w:rPr>
                <w:rFonts w:ascii="Calibri" w:hAnsi="Calibri" w:cs="Times New Roman"/>
                <w:color w:val="FF3333"/>
                <w:sz w:val="20"/>
                <w:szCs w:val="20"/>
              </w:rPr>
            </w:pPr>
            <w:r>
              <w:rPr>
                <w:rFonts w:ascii="Calibri" w:hAnsi="Calibri" w:cs="Times New Roman"/>
                <w:color w:val="FF3333"/>
                <w:sz w:val="20"/>
                <w:szCs w:val="20"/>
              </w:rPr>
              <w:t>&lt;Descrição&gt;</w:t>
            </w:r>
          </w:p>
        </w:tc>
        <w:tc>
          <w:tcPr>
            <w:tcW w:w="1425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441C5C6" w14:textId="77777777">
            <w:pPr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&lt;fase&gt;</w:t>
            </w:r>
          </w:p>
        </w:tc>
        <w:tc>
          <w:tcPr>
            <w:tcW w:w="1580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A4CF054" w14:textId="77777777">
            <w:pPr>
              <w:tabs>
                <w:tab w:val="left" w:pos="-302"/>
              </w:tabs>
              <w:jc w:val="center"/>
              <w:rPr>
                <w:rFonts w:ascii="Calibri" w:hAnsi="Calibri" w:cs="Times New Roman"/>
                <w:color w:val="FF0000"/>
                <w:sz w:val="20"/>
                <w:szCs w:val="20"/>
              </w:rPr>
            </w:pPr>
            <w:r>
              <w:rPr>
                <w:rFonts w:ascii="Calibri" w:hAnsi="Calibri" w:cs="Times New Roman"/>
                <w:color w:val="FF0000"/>
                <w:sz w:val="20"/>
                <w:szCs w:val="20"/>
              </w:rPr>
              <w:t>XXXXXXXXXXXX</w:t>
            </w:r>
          </w:p>
        </w:tc>
      </w:tr>
    </w:tbl>
    <w:p w:rsidR="008E374F" w:rsidRDefault="009334CA" w14:paraId="110BACA5" w14:textId="77777777">
      <w:pPr>
        <w:pStyle w:val="Standard"/>
        <w:tabs>
          <w:tab w:val="left" w:pos="800"/>
          <w:tab w:val="right" w:leader="dot" w:pos="9629"/>
        </w:tabs>
        <w:jc w:val="both"/>
        <w:rPr>
          <w:rFonts w:ascii="Calibri" w:hAnsi="Calibri" w:eastAsia="MS Mincho"/>
          <w:sz w:val="20"/>
          <w:szCs w:val="20"/>
          <w:lang w:eastAsia="ar-SA"/>
        </w:rPr>
      </w:pPr>
      <w:r>
        <w:rPr>
          <w:rFonts w:ascii="Calibri" w:hAnsi="Calibri" w:eastAsia="MS Mincho"/>
          <w:sz w:val="20"/>
          <w:szCs w:val="20"/>
          <w:lang w:eastAsia="ar-SA"/>
        </w:rPr>
        <w:t>*Fase: Registro da fase do processo de contratação da solução de TIC relacionada à criação/alteração do Mapa de Gerenciamento de Riscos:</w:t>
      </w:r>
    </w:p>
    <w:p w:rsidR="008E374F" w:rsidRDefault="009334CA" w14:paraId="07EADD6F" w14:textId="77777777">
      <w:pPr>
        <w:pStyle w:val="Standard"/>
        <w:tabs>
          <w:tab w:val="left" w:pos="800"/>
          <w:tab w:val="right" w:leader="dot" w:pos="9629"/>
        </w:tabs>
        <w:jc w:val="both"/>
      </w:pPr>
      <w:r>
        <w:rPr>
          <w:rFonts w:ascii="Calibri" w:hAnsi="Calibri" w:eastAsia="MS Mincho"/>
          <w:b/>
          <w:bCs/>
          <w:sz w:val="20"/>
          <w:szCs w:val="20"/>
          <w:lang w:eastAsia="ar-SA"/>
        </w:rPr>
        <w:t>PCTIC</w:t>
      </w:r>
      <w:r>
        <w:rPr>
          <w:rFonts w:ascii="Calibri" w:hAnsi="Calibri" w:eastAsia="MS Mincho"/>
          <w:sz w:val="20"/>
          <w:szCs w:val="20"/>
          <w:lang w:eastAsia="ar-SA"/>
        </w:rPr>
        <w:t xml:space="preserve"> – Planejamento da Contratação;</w:t>
      </w:r>
    </w:p>
    <w:p w:rsidR="008E374F" w:rsidRDefault="009334CA" w14:paraId="583D943C" w14:textId="77777777">
      <w:pPr>
        <w:pStyle w:val="Standard"/>
        <w:tabs>
          <w:tab w:val="left" w:pos="800"/>
          <w:tab w:val="right" w:leader="dot" w:pos="9629"/>
        </w:tabs>
        <w:jc w:val="both"/>
      </w:pPr>
      <w:r>
        <w:rPr>
          <w:rFonts w:ascii="Calibri" w:hAnsi="Calibri" w:eastAsia="MS Mincho"/>
          <w:b/>
          <w:bCs/>
          <w:sz w:val="20"/>
          <w:szCs w:val="20"/>
          <w:lang w:eastAsia="ar-SA"/>
        </w:rPr>
        <w:t>SFTIC</w:t>
      </w:r>
      <w:r>
        <w:rPr>
          <w:rFonts w:ascii="Calibri" w:hAnsi="Calibri" w:eastAsia="MS Mincho"/>
          <w:sz w:val="20"/>
          <w:szCs w:val="20"/>
          <w:lang w:eastAsia="ar-SA"/>
        </w:rPr>
        <w:t xml:space="preserve"> – Seleção de Fornecedores;</w:t>
      </w:r>
    </w:p>
    <w:p w:rsidR="008E374F" w:rsidRDefault="009334CA" w14:paraId="4D6CA261" w14:textId="77777777">
      <w:pPr>
        <w:pStyle w:val="Standard"/>
        <w:tabs>
          <w:tab w:val="left" w:pos="800"/>
          <w:tab w:val="right" w:leader="dot" w:pos="9629"/>
        </w:tabs>
        <w:jc w:val="both"/>
      </w:pPr>
      <w:r>
        <w:rPr>
          <w:rFonts w:ascii="Calibri" w:hAnsi="Calibri" w:eastAsia="MS Mincho"/>
          <w:b/>
          <w:bCs/>
          <w:sz w:val="20"/>
          <w:szCs w:val="20"/>
          <w:lang w:eastAsia="ar-SA"/>
        </w:rPr>
        <w:t>GCTIC</w:t>
      </w:r>
      <w:r>
        <w:rPr>
          <w:rFonts w:ascii="Calibri" w:hAnsi="Calibri" w:eastAsia="MS Mincho"/>
          <w:sz w:val="20"/>
          <w:szCs w:val="20"/>
          <w:lang w:eastAsia="ar-SA"/>
        </w:rPr>
        <w:t xml:space="preserve"> – Gestão do Contrato.</w:t>
      </w:r>
    </w:p>
    <w:p w:rsidR="008E374F" w:rsidRDefault="008E374F" w14:paraId="5B9E423F" w14:textId="77777777">
      <w:pPr>
        <w:pStyle w:val="Standard"/>
        <w:tabs>
          <w:tab w:val="left" w:pos="800"/>
          <w:tab w:val="right" w:leader="dot" w:pos="9629"/>
        </w:tabs>
        <w:jc w:val="both"/>
        <w:rPr>
          <w:rFonts w:ascii="Calibri" w:hAnsi="Calibri" w:eastAsia="MS Mincho"/>
          <w:sz w:val="20"/>
          <w:szCs w:val="20"/>
          <w:lang w:eastAsia="ar-SA"/>
        </w:rPr>
      </w:pPr>
    </w:p>
    <w:p w:rsidR="008E374F" w:rsidRDefault="008E374F" w14:paraId="61605103" w14:textId="77777777">
      <w:pPr>
        <w:pStyle w:val="Standard"/>
        <w:tabs>
          <w:tab w:val="left" w:pos="800"/>
          <w:tab w:val="right" w:leader="dot" w:pos="9629"/>
        </w:tabs>
        <w:jc w:val="both"/>
        <w:rPr>
          <w:rFonts w:ascii="Calibri" w:hAnsi="Calibri" w:eastAsia="MS Mincho"/>
          <w:sz w:val="20"/>
          <w:szCs w:val="20"/>
          <w:lang w:eastAsia="ar-SA"/>
        </w:rPr>
      </w:pPr>
    </w:p>
    <w:p w:rsidR="008E374F" w:rsidRDefault="008E374F" w14:paraId="4710D008" w14:textId="77777777">
      <w:pPr>
        <w:pStyle w:val="Standard"/>
        <w:tabs>
          <w:tab w:val="left" w:pos="800"/>
          <w:tab w:val="right" w:leader="dot" w:pos="9629"/>
        </w:tabs>
        <w:jc w:val="both"/>
        <w:rPr>
          <w:rFonts w:ascii="Calibri" w:hAnsi="Calibri" w:eastAsia="MS Mincho"/>
          <w:sz w:val="20"/>
          <w:szCs w:val="20"/>
          <w:lang w:eastAsia="ar-SA"/>
        </w:rPr>
      </w:pPr>
    </w:p>
    <w:p w:rsidR="008E374F" w:rsidRDefault="008E374F" w14:paraId="6B09AAFB" w14:textId="77777777">
      <w:pPr>
        <w:pStyle w:val="Standard"/>
        <w:tabs>
          <w:tab w:val="left" w:pos="800"/>
          <w:tab w:val="right" w:leader="dot" w:pos="9629"/>
        </w:tabs>
        <w:jc w:val="center"/>
        <w:rPr>
          <w:rFonts w:ascii="Calibri" w:hAnsi="Calibri" w:eastAsia="MS Mincho"/>
          <w:color w:val="FF0000"/>
          <w:sz w:val="28"/>
          <w:szCs w:val="28"/>
          <w:lang w:eastAsia="ar-SA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8E374F" w:rsidTr="16BB55E6" w14:paraId="4F287909" w14:textId="77777777">
        <w:tc>
          <w:tcPr>
            <w:tcW w:w="93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6CF1447C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:rsidR="008E374F" w:rsidRDefault="008E374F" w14:paraId="7EDD3910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:rsidR="008E374F" w:rsidRDefault="009334CA" w14:paraId="07E309EF" w14:textId="44308B80">
            <w:pPr>
              <w:pStyle w:val="Standard"/>
              <w:tabs>
                <w:tab w:val="left" w:pos="800"/>
                <w:tab w:val="right" w:leader="dot" w:pos="9629"/>
              </w:tabs>
            </w:pPr>
            <w:r w:rsidRPr="16BB55E6">
              <w:rPr>
                <w:rFonts w:ascii="Calibri" w:hAnsi="Calibri" w:eastAsia="MS Mincho"/>
                <w:color w:val="FF3333"/>
                <w:lang w:eastAsia="ar-SA"/>
              </w:rPr>
              <w:t>&lt; Os trechos marcados em vermelho neste documento são editáveis, notas explicativas ou exem</w:t>
            </w:r>
            <w:r w:rsidRPr="16BB55E6" w:rsidR="538CDD81">
              <w:rPr>
                <w:rFonts w:ascii="Calibri" w:hAnsi="Calibri" w:eastAsia="MS Mincho"/>
                <w:color w:val="FF3333"/>
                <w:lang w:eastAsia="ar-SA"/>
              </w:rPr>
              <w:t>p</w:t>
            </w:r>
            <w:r w:rsidRPr="16BB55E6">
              <w:rPr>
                <w:rFonts w:ascii="Calibri" w:hAnsi="Calibri" w:eastAsia="MS Mincho"/>
                <w:color w:val="FF3333"/>
                <w:lang w:eastAsia="ar-SA"/>
              </w:rPr>
              <w:t>los, devendo ser substituídos ou excluídos, conforme necessidade&gt;.</w:t>
            </w:r>
          </w:p>
          <w:p w:rsidR="008E374F" w:rsidRDefault="008E374F" w14:paraId="2C00D7B0" w14:textId="77777777">
            <w:pPr>
              <w:pStyle w:val="Standard"/>
              <w:tabs>
                <w:tab w:val="left" w:pos="800"/>
                <w:tab w:val="right" w:leader="dot" w:pos="9629"/>
              </w:tabs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8E374F" w:rsidRDefault="009334CA" w14:paraId="375F47D1" w14:textId="57F7D893">
            <w:pPr>
              <w:pStyle w:val="Standard"/>
              <w:rPr>
                <w:rFonts w:ascii="Calibri" w:hAnsi="Calibri" w:eastAsia="MS Mincho"/>
                <w:color w:val="FF3333"/>
                <w:lang w:eastAsia="ar-SA"/>
              </w:rPr>
            </w:pPr>
            <w:r w:rsidRPr="16BB55E6">
              <w:rPr>
                <w:rFonts w:ascii="Calibri" w:hAnsi="Calibri" w:eastAsia="MS Mincho"/>
                <w:color w:val="FF3333"/>
                <w:lang w:eastAsia="ar-SA"/>
              </w:rPr>
              <w:t xml:space="preserve">&lt;Conforme ACÓRDÃO  172/2021 –PLENÁRIO, os órgãos e entidades federais tem dever legal de se realizar planejamento prévio de cada contratação de TIC, inclusive naquelas viabilizadas mediante adesão a ARPs, </w:t>
            </w:r>
            <w:r w:rsidRPr="16BB55E6" w:rsidR="6CDD769F">
              <w:rPr>
                <w:rFonts w:ascii="Calibri" w:hAnsi="Calibri" w:eastAsia="MS Mincho"/>
                <w:color w:val="FF3333"/>
                <w:lang w:eastAsia="ar-SA"/>
              </w:rPr>
              <w:t xml:space="preserve">o que </w:t>
            </w:r>
            <w:r w:rsidRPr="16BB55E6">
              <w:rPr>
                <w:rFonts w:ascii="Calibri" w:hAnsi="Calibri" w:eastAsia="MS Mincho"/>
                <w:color w:val="FF3333"/>
                <w:lang w:eastAsia="ar-SA"/>
              </w:rPr>
              <w:t>vai além do mero preenchimento formal dos artefatos previstos na legislação&gt;.</w:t>
            </w:r>
          </w:p>
          <w:p w:rsidR="008E374F" w:rsidRDefault="008E374F" w14:paraId="5D52DE56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8E374F" w:rsidRDefault="008E374F" w14:paraId="5EB82868" w14:textId="77777777">
      <w:pPr>
        <w:pStyle w:val="Standard"/>
        <w:tabs>
          <w:tab w:val="left" w:pos="800"/>
          <w:tab w:val="right" w:leader="dot" w:pos="9629"/>
        </w:tabs>
        <w:jc w:val="center"/>
        <w:rPr>
          <w:rFonts w:ascii="Calibri" w:hAnsi="Calibri" w:eastAsia="MS Mincho"/>
          <w:color w:val="FF0000"/>
          <w:sz w:val="28"/>
          <w:szCs w:val="28"/>
          <w:lang w:eastAsia="ar-SA"/>
        </w:rPr>
      </w:pPr>
    </w:p>
    <w:p w:rsidR="008E374F" w:rsidRDefault="008E374F" w14:paraId="59F30B53" w14:textId="77777777">
      <w:pPr>
        <w:pStyle w:val="Standard"/>
        <w:tabs>
          <w:tab w:val="left" w:pos="800"/>
          <w:tab w:val="right" w:leader="dot" w:pos="9629"/>
        </w:tabs>
        <w:jc w:val="both"/>
        <w:rPr>
          <w:rFonts w:ascii="Calibri" w:hAnsi="Calibri" w:eastAsia="MS Mincho"/>
          <w:color w:val="FF0000"/>
          <w:sz w:val="28"/>
          <w:szCs w:val="28"/>
          <w:lang w:eastAsia="ar-SA"/>
        </w:rPr>
      </w:pPr>
    </w:p>
    <w:p w:rsidR="008E374F" w:rsidRDefault="008E374F" w14:paraId="5C065E6B" w14:textId="77777777">
      <w:pPr>
        <w:tabs>
          <w:tab w:val="left" w:pos="800"/>
          <w:tab w:val="right" w:leader="dot" w:pos="9629"/>
        </w:tabs>
        <w:spacing w:line="360" w:lineRule="auto"/>
        <w:jc w:val="both"/>
        <w:rPr>
          <w:rFonts w:ascii="Calibri" w:hAnsi="Calibri"/>
          <w:sz w:val="20"/>
          <w:szCs w:val="20"/>
        </w:rPr>
      </w:pPr>
    </w:p>
    <w:p w:rsidR="008E374F" w:rsidRDefault="008E374F" w14:paraId="7B6124F4" w14:textId="77777777">
      <w:pPr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both"/>
        <w:rPr>
          <w:rFonts w:ascii="Calibri" w:hAnsi="Calibri" w:eastAsia="Times New Roman" w:cs="Verdana"/>
          <w:b/>
          <w:bCs/>
        </w:rPr>
      </w:pPr>
    </w:p>
    <w:p w:rsidR="008E374F" w:rsidRDefault="009334CA" w14:paraId="58D3AF08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t>MAPA DE GERENCIAMENTO DE RISCOS</w:t>
      </w:r>
    </w:p>
    <w:p w:rsidR="008E374F" w:rsidRDefault="008E374F" w14:paraId="4BEEB2A0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8E374F" w:rsidTr="59594B50" w14:paraId="17F1394A" w14:textId="77777777">
        <w:tc>
          <w:tcPr>
            <w:tcW w:w="93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1F479379" w14:textId="77777777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8E374F" w:rsidTr="59594B50" w14:paraId="06EF4E10" w14:textId="77777777">
        <w:tc>
          <w:tcPr>
            <w:tcW w:w="9355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1C2F856E" w14:textId="77777777">
            <w:pPr>
              <w:pStyle w:val="Standard"/>
              <w:spacing w:before="119" w:after="119"/>
              <w:ind w:firstLine="283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gerenciamento de riscos permite ações contínuas de planejamento, organização e controle dos recursos relacionados aos riscos que possam comprometer o sucesso da contratação, da execução do objeto e da gestão contratual.</w:t>
            </w:r>
          </w:p>
          <w:p w:rsidR="008E374F" w:rsidRDefault="009334CA" w14:paraId="661E939E" w14:textId="77777777">
            <w:pPr>
              <w:pStyle w:val="Standard"/>
              <w:spacing w:before="119" w:after="119"/>
              <w:ind w:firstLine="283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Mapa de Gerenciamento de Riscos deve conter a identificação e a análise dos principais riscos, consistindo na compreensão da natureza e determinação do nível de risco, que corresponde à combinação do impacto e de suas probabilidades que possam comprometer a efetividade da contratação, bem como o alcance dos resultados pretendidos com a solução de TIC.</w:t>
            </w:r>
          </w:p>
          <w:p w:rsidR="008E374F" w:rsidRDefault="009334CA" w14:paraId="3E11F941" w14:textId="568086B7">
            <w:pPr>
              <w:pStyle w:val="Standard"/>
              <w:spacing w:after="119"/>
              <w:ind w:firstLine="283"/>
              <w:jc w:val="both"/>
              <w:rPr>
                <w:rFonts w:ascii="Calibri" w:hAnsi="Calibri" w:eastAsia="Arial" w:cs="Arial"/>
              </w:rPr>
            </w:pPr>
            <w:r w:rsidRPr="16BB55E6">
              <w:rPr>
                <w:rFonts w:ascii="Calibri" w:hAnsi="Calibri" w:eastAsia="Arial" w:cs="Arial"/>
              </w:rPr>
              <w:t>Para cada risco identificado, define-se: a probabilidade de ocorrência dos eventos, os possíveis danos e impacto</w:t>
            </w:r>
            <w:r w:rsidRPr="16BB55E6" w:rsidR="245D219B">
              <w:rPr>
                <w:rFonts w:ascii="Calibri" w:hAnsi="Calibri" w:eastAsia="Arial" w:cs="Arial"/>
              </w:rPr>
              <w:t>s</w:t>
            </w:r>
            <w:r w:rsidRPr="16BB55E6">
              <w:rPr>
                <w:rFonts w:ascii="Calibri" w:hAnsi="Calibri" w:eastAsia="Arial" w:cs="Arial"/>
              </w:rPr>
              <w:t xml:space="preserve"> caso o risco ocorra, possíveis ações preventivas e de contingência (respostas aos riscos), a identificação de responsáveis pelas ações, bem como o registro e o acompanhamento das ações de tratamento dos riscos.</w:t>
            </w:r>
          </w:p>
          <w:p w:rsidR="008E374F" w:rsidRDefault="009334CA" w14:paraId="5293F8D2" w14:textId="77777777">
            <w:pPr>
              <w:pStyle w:val="Standard"/>
              <w:spacing w:after="119"/>
              <w:ind w:firstLine="283"/>
              <w:jc w:val="both"/>
              <w:rPr>
                <w:rFonts w:ascii="Calibri" w:hAnsi="Calibri" w:eastAsia="Arial" w:cs="Arial"/>
              </w:rPr>
            </w:pPr>
            <w:r>
              <w:rPr>
                <w:rFonts w:ascii="Calibri" w:hAnsi="Calibri" w:eastAsia="Arial" w:cs="Arial"/>
              </w:rPr>
              <w:t>Os riscos identificados no projeto devem ser registrados, avaliados e tratados:</w:t>
            </w:r>
          </w:p>
          <w:p w:rsidR="008E374F" w:rsidP="16BB55E6" w:rsidRDefault="009334CA" w14:paraId="11BD71B3" w14:textId="159CA548">
            <w:pPr>
              <w:pStyle w:val="Standard"/>
              <w:numPr>
                <w:ilvl w:val="0"/>
                <w:numId w:val="1"/>
              </w:numPr>
              <w:spacing w:after="119"/>
              <w:jc w:val="both"/>
              <w:rPr>
                <w:rFonts w:ascii="Calibri" w:hAnsi="Calibri" w:eastAsia="Arial" w:cs="Arial"/>
              </w:rPr>
            </w:pPr>
            <w:r w:rsidRPr="16BB55E6">
              <w:rPr>
                <w:rFonts w:ascii="Calibri" w:hAnsi="Calibri" w:eastAsia="Arial" w:cs="Arial"/>
              </w:rPr>
              <w:t>Durante a fase de planejamento, a equipe de Planejamento da Contratação deve proceder às ações de gerenciamento de riscos e produzir o Mapa de Gerenciamento de Riscos;</w:t>
            </w:r>
          </w:p>
          <w:p w:rsidR="008E374F" w:rsidP="16BB55E6" w:rsidRDefault="009334CA" w14:paraId="2BBF989A" w14:textId="64EBBCE8">
            <w:pPr>
              <w:pStyle w:val="Standard"/>
              <w:numPr>
                <w:ilvl w:val="0"/>
                <w:numId w:val="1"/>
              </w:numPr>
              <w:spacing w:after="119"/>
              <w:jc w:val="both"/>
              <w:rPr>
                <w:rFonts w:ascii="Calibri" w:hAnsi="Calibri" w:eastAsia="Arial" w:cs="Arial"/>
              </w:rPr>
            </w:pPr>
            <w:r w:rsidRPr="16BB55E6">
              <w:rPr>
                <w:rFonts w:ascii="Calibri" w:hAnsi="Calibri" w:eastAsia="Arial" w:cs="Arial"/>
              </w:rPr>
              <w:t>Durante a fase de Seleção do Fornecedor, o Integrante Administrativo</w:t>
            </w:r>
            <w:r w:rsidRPr="16BB55E6" w:rsidR="4A2F6487">
              <w:rPr>
                <w:rFonts w:ascii="Calibri" w:hAnsi="Calibri" w:eastAsia="Arial" w:cs="Arial"/>
              </w:rPr>
              <w:t>,</w:t>
            </w:r>
            <w:r w:rsidRPr="16BB55E6">
              <w:rPr>
                <w:rFonts w:ascii="Calibri" w:hAnsi="Calibri" w:eastAsia="Arial" w:cs="Arial"/>
              </w:rPr>
              <w:t xml:space="preserve"> com apoio dos Integrantes Técnico e Requisitante</w:t>
            </w:r>
            <w:r w:rsidRPr="16BB55E6" w:rsidR="6DCA1A89">
              <w:rPr>
                <w:rFonts w:ascii="Calibri" w:hAnsi="Calibri" w:eastAsia="Arial" w:cs="Arial"/>
              </w:rPr>
              <w:t>,</w:t>
            </w:r>
            <w:r w:rsidRPr="16BB55E6">
              <w:rPr>
                <w:rFonts w:ascii="Calibri" w:hAnsi="Calibri" w:eastAsia="Arial" w:cs="Arial"/>
              </w:rPr>
              <w:t xml:space="preserve"> deve proceder às ações de gerenciamento dos riscos e atualizar o Mapa de Gerenciamento de Riscos;</w:t>
            </w:r>
          </w:p>
          <w:p w:rsidR="008E374F" w:rsidP="16BB55E6" w:rsidRDefault="009334CA" w14:paraId="704E04BD" w14:textId="0DD5854B">
            <w:pPr>
              <w:pStyle w:val="Standard"/>
              <w:numPr>
                <w:ilvl w:val="0"/>
                <w:numId w:val="1"/>
              </w:numPr>
              <w:spacing w:after="119"/>
              <w:jc w:val="both"/>
              <w:rPr>
                <w:rFonts w:ascii="Calibri" w:hAnsi="Calibri" w:eastAsia="Arial" w:cs="Arial"/>
              </w:rPr>
            </w:pPr>
            <w:r w:rsidRPr="16BB55E6">
              <w:rPr>
                <w:rFonts w:ascii="Calibri" w:hAnsi="Calibri" w:eastAsia="Arial" w:cs="Arial"/>
              </w:rPr>
              <w:t>Durante a fase de Gestão do Contrato, a Equipe de Fiscalização do Contrato, sob coordenação do Gestor do Contrato, deverá proceder à atualização contínua do Mapa de Gerenciamento de Riscos, procedendo à reavaliação dos riscos identificados nas fases anteriores com a atualização de suas respectivas ações de tratamento, e</w:t>
            </w:r>
            <w:r w:rsidRPr="16BB55E6" w:rsidR="6B612410">
              <w:rPr>
                <w:rFonts w:ascii="Calibri" w:hAnsi="Calibri" w:eastAsia="Arial" w:cs="Arial"/>
              </w:rPr>
              <w:t xml:space="preserve"> proceder também com a </w:t>
            </w:r>
            <w:r w:rsidRPr="16BB55E6">
              <w:rPr>
                <w:rFonts w:ascii="Calibri" w:hAnsi="Calibri" w:eastAsia="Arial" w:cs="Arial"/>
              </w:rPr>
              <w:t>identificação, análise, avaliação e tratamento de novos riscos.</w:t>
            </w:r>
          </w:p>
          <w:p w:rsidR="008E374F" w:rsidRDefault="009334CA" w14:paraId="7C18BAB9" w14:textId="77777777">
            <w:pPr>
              <w:pStyle w:val="Standard"/>
              <w:spacing w:after="238"/>
              <w:ind w:firstLine="283"/>
              <w:jc w:val="both"/>
            </w:pPr>
            <w:r>
              <w:rPr>
                <w:rFonts w:ascii="Calibri" w:hAnsi="Calibri" w:eastAsia="Arial" w:cs="Arial"/>
                <w:color w:val="FF3333"/>
              </w:rPr>
              <w:t xml:space="preserve">&lt;Como </w:t>
            </w:r>
            <w:r>
              <w:rPr>
                <w:rFonts w:ascii="Calibri" w:hAnsi="Calibri" w:eastAsia="Arial" w:cs="Arial"/>
                <w:b/>
                <w:bCs/>
                <w:color w:val="FF3333"/>
              </w:rPr>
              <w:t>exemplo</w:t>
            </w:r>
            <w:r>
              <w:rPr>
                <w:rFonts w:ascii="Calibri" w:hAnsi="Calibri" w:eastAsia="Arial" w:cs="Arial"/>
                <w:color w:val="FF3333"/>
              </w:rPr>
              <w:t>, parâmetros escalares podem ser utilizados para representar os níveis de probabilidade e impacto que, após a multiplicação, resultarão nos níveis de risco, que direcionarão as ações relacionadas aos riscos durante as fases de contratação (planejamento, seleção de fornecedor e gestão do contrato).</w:t>
            </w:r>
          </w:p>
          <w:tbl>
            <w:tblPr>
              <w:tblW w:w="5213" w:type="dxa"/>
              <w:tblInd w:w="203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495"/>
              <w:gridCol w:w="2718"/>
            </w:tblGrid>
            <w:tr w:rsidR="008E374F" w14:paraId="3A2B4ED5" w14:textId="77777777">
              <w:trPr>
                <w:tblHeader/>
              </w:trPr>
              <w:tc>
                <w:tcPr>
                  <w:tcW w:w="2495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5BC032FB" w14:textId="77777777">
                  <w:pPr>
                    <w:pStyle w:val="TableContents"/>
                    <w:jc w:val="center"/>
                    <w:rPr>
                      <w:rFonts w:ascii="Calibri" w:hAnsi="Calibri"/>
                      <w:b/>
                      <w:bCs/>
                      <w:color w:val="FF3333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3333"/>
                    </w:rPr>
                    <w:t>Classificação</w:t>
                  </w:r>
                </w:p>
              </w:tc>
              <w:tc>
                <w:tcPr>
                  <w:tcW w:w="2718" w:type="dxa"/>
                  <w:tcBorders>
                    <w:top w:val="single" w:color="000000" w:sz="2" w:space="0"/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7770B70C" w14:textId="77777777">
                  <w:pPr>
                    <w:pStyle w:val="TableContents"/>
                    <w:jc w:val="center"/>
                    <w:rPr>
                      <w:rFonts w:ascii="Calibri" w:hAnsi="Calibri"/>
                      <w:b/>
                      <w:bCs/>
                      <w:color w:val="FF3333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3333"/>
                    </w:rPr>
                    <w:t>Valor</w:t>
                  </w:r>
                </w:p>
              </w:tc>
            </w:tr>
            <w:tr w:rsidR="008E374F" w14:paraId="44888515" w14:textId="77777777">
              <w:tc>
                <w:tcPr>
                  <w:tcW w:w="2495" w:type="dxa"/>
                  <w:tcBorders>
                    <w:left w:val="single" w:color="000000" w:sz="2" w:space="0"/>
                    <w:bottom w:val="single" w:color="000000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2A7C0471" w14:textId="77777777">
                  <w:pPr>
                    <w:pStyle w:val="TableContents"/>
                    <w:jc w:val="center"/>
                    <w:rPr>
                      <w:rFonts w:ascii="Calibri" w:hAnsi="Calibri"/>
                      <w:color w:val="FF3333"/>
                    </w:rPr>
                  </w:pPr>
                  <w:r>
                    <w:rPr>
                      <w:rFonts w:ascii="Calibri" w:hAnsi="Calibri"/>
                      <w:color w:val="FF3333"/>
                    </w:rPr>
                    <w:t>Baixo</w:t>
                  </w:r>
                </w:p>
              </w:tc>
              <w:tc>
                <w:tcPr>
                  <w:tcW w:w="2718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72C32C54" w14:textId="77777777">
                  <w:pPr>
                    <w:pStyle w:val="TableContents"/>
                    <w:jc w:val="center"/>
                    <w:rPr>
                      <w:rFonts w:ascii="Calibri" w:hAnsi="Calibri"/>
                      <w:color w:val="FF3333"/>
                    </w:rPr>
                  </w:pPr>
                  <w:r>
                    <w:rPr>
                      <w:rFonts w:ascii="Calibri" w:hAnsi="Calibri"/>
                      <w:color w:val="FF3333"/>
                    </w:rPr>
                    <w:t>5</w:t>
                  </w:r>
                </w:p>
              </w:tc>
            </w:tr>
            <w:tr w:rsidR="008E374F" w14:paraId="03253E2F" w14:textId="77777777">
              <w:tc>
                <w:tcPr>
                  <w:tcW w:w="2495" w:type="dxa"/>
                  <w:tcBorders>
                    <w:left w:val="single" w:color="000000" w:sz="2" w:space="0"/>
                    <w:bottom w:val="single" w:color="000000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44664621" w14:textId="77777777">
                  <w:pPr>
                    <w:pStyle w:val="TableContents"/>
                    <w:jc w:val="center"/>
                    <w:rPr>
                      <w:rFonts w:ascii="Calibri" w:hAnsi="Calibri"/>
                      <w:color w:val="FF3333"/>
                    </w:rPr>
                  </w:pPr>
                  <w:r>
                    <w:rPr>
                      <w:rFonts w:ascii="Calibri" w:hAnsi="Calibri"/>
                      <w:color w:val="FF3333"/>
                    </w:rPr>
                    <w:t>Médio</w:t>
                  </w:r>
                </w:p>
              </w:tc>
              <w:tc>
                <w:tcPr>
                  <w:tcW w:w="2718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229D2F1D" w14:textId="77777777">
                  <w:pPr>
                    <w:pStyle w:val="TableContents"/>
                    <w:jc w:val="center"/>
                    <w:rPr>
                      <w:rFonts w:ascii="Calibri" w:hAnsi="Calibri"/>
                      <w:color w:val="FF3333"/>
                    </w:rPr>
                  </w:pPr>
                  <w:r>
                    <w:rPr>
                      <w:rFonts w:ascii="Calibri" w:hAnsi="Calibri"/>
                      <w:color w:val="FF3333"/>
                    </w:rPr>
                    <w:t>10</w:t>
                  </w:r>
                </w:p>
              </w:tc>
            </w:tr>
            <w:tr w:rsidR="008E374F" w14:paraId="759C9A02" w14:textId="77777777">
              <w:tc>
                <w:tcPr>
                  <w:tcW w:w="2495" w:type="dxa"/>
                  <w:tcBorders>
                    <w:left w:val="single" w:color="000000" w:sz="2" w:space="0"/>
                    <w:bottom w:val="single" w:color="000000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46CF51F6" w14:textId="77777777">
                  <w:pPr>
                    <w:pStyle w:val="TableContents"/>
                    <w:jc w:val="center"/>
                    <w:rPr>
                      <w:rFonts w:ascii="Calibri" w:hAnsi="Calibri"/>
                      <w:color w:val="FF3333"/>
                    </w:rPr>
                  </w:pPr>
                  <w:r>
                    <w:rPr>
                      <w:rFonts w:ascii="Calibri" w:hAnsi="Calibri"/>
                      <w:color w:val="FF3333"/>
                    </w:rPr>
                    <w:t>Alto</w:t>
                  </w:r>
                </w:p>
              </w:tc>
              <w:tc>
                <w:tcPr>
                  <w:tcW w:w="2718" w:type="dxa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8E374F" w:rsidRDefault="009334CA" w14:paraId="1A882FC0" w14:textId="77777777">
                  <w:pPr>
                    <w:pStyle w:val="TableContents"/>
                    <w:jc w:val="center"/>
                    <w:rPr>
                      <w:rFonts w:ascii="Calibri" w:hAnsi="Calibri"/>
                      <w:color w:val="FF3333"/>
                    </w:rPr>
                  </w:pPr>
                  <w:r>
                    <w:rPr>
                      <w:rFonts w:ascii="Calibri" w:hAnsi="Calibri"/>
                      <w:color w:val="FF3333"/>
                    </w:rPr>
                    <w:t>15</w:t>
                  </w:r>
                </w:p>
              </w:tc>
            </w:tr>
          </w:tbl>
          <w:p w:rsidR="008E374F" w:rsidRDefault="009334CA" w14:paraId="13CD46F3" w14:textId="77777777">
            <w:pPr>
              <w:pStyle w:val="Table"/>
              <w:spacing w:before="57" w:after="119"/>
              <w:jc w:val="center"/>
              <w:rPr>
                <w:rFonts w:ascii="Calibri" w:hAnsi="Calibri"/>
                <w:i w:val="0"/>
                <w:iCs w:val="0"/>
                <w:color w:val="FF3333"/>
                <w:sz w:val="20"/>
                <w:szCs w:val="20"/>
              </w:rPr>
            </w:pPr>
            <w:r w:rsidRPr="59594B50">
              <w:rPr>
                <w:rFonts w:ascii="Calibri" w:hAnsi="Calibri"/>
                <w:i w:val="0"/>
                <w:iCs w:val="0"/>
                <w:color w:val="FF3333"/>
                <w:sz w:val="20"/>
                <w:szCs w:val="20"/>
              </w:rPr>
              <w:t>Tabela 1: Escala de classificação de probabilidade e impacto.</w:t>
            </w:r>
          </w:p>
          <w:p w:rsidR="59594B50" w:rsidP="59594B50" w:rsidRDefault="59594B50" w14:paraId="67C8BE31" w14:textId="52AEF1F3">
            <w:pPr>
              <w:pStyle w:val="Textbody"/>
              <w:spacing w:after="340"/>
              <w:ind w:firstLine="283"/>
              <w:jc w:val="both"/>
              <w:rPr>
                <w:rFonts w:ascii="Calibri" w:hAnsi="Calibri"/>
                <w:color w:val="FF3333"/>
              </w:rPr>
            </w:pPr>
          </w:p>
          <w:p w:rsidR="008E374F" w:rsidRDefault="009334CA" w14:paraId="16D74628" w14:textId="2FE4320D">
            <w:pPr>
              <w:pStyle w:val="Textbody"/>
              <w:spacing w:after="340"/>
              <w:ind w:firstLine="283"/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 tabela a seguir apresenta a Matriz Probabilidade x Impacto, instrumento de apoio para a definição dos critérios de classificação do nível de risco.</w:t>
            </w:r>
          </w:p>
          <w:p w:rsidR="00B01C49" w:rsidP="00B01C49" w:rsidRDefault="00B01C49" w14:paraId="4F5C59DF" w14:textId="41922584">
            <w:pPr>
              <w:pStyle w:val="Textbody"/>
              <w:spacing w:after="340"/>
              <w:ind w:left="2504"/>
              <w:jc w:val="both"/>
              <w:rPr>
                <w:rFonts w:ascii="Calibri" w:hAnsi="Calibri"/>
                <w:color w:val="FF3333"/>
              </w:rPr>
            </w:pPr>
            <w:r>
              <w:rPr>
                <w:noProof/>
              </w:rPr>
              <w:drawing>
                <wp:inline distT="0" distB="0" distL="0" distR="0" wp14:anchorId="1EB61D0F" wp14:editId="17FF35E9">
                  <wp:extent cx="2895600" cy="161729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318" cy="162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45" w:rightFromText="45" w:vertAnchor="text"/>
              <w:tblW w:w="495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1"/>
            </w:tblGrid>
            <w:tr w:rsidR="00B551C8" w:rsidTr="59594B50" w14:paraId="70E94908" w14:textId="77777777">
              <w:trPr>
                <w:trHeight w:val="300"/>
                <w:tblCellSpacing w:w="0" w:type="dxa"/>
              </w:trPr>
              <w:tc>
                <w:tcPr>
                  <w:tcW w:w="4951" w:type="dxa"/>
                  <w:vAlign w:val="center"/>
                  <w:hideMark/>
                </w:tcPr>
                <w:p w:rsidR="00B551C8" w:rsidP="00B551C8" w:rsidRDefault="00B551C8" w14:paraId="368D9711" w14:textId="0B6CB566">
                  <w:pPr>
                    <w:widowControl/>
                    <w:suppressAutoHyphens w:val="0"/>
                    <w:autoSpaceDN/>
                    <w:rPr>
                      <w:rFonts w:eastAsia="Calibri" w:cs="Times New Roman"/>
                      <w:kern w:val="0"/>
                      <w:lang w:eastAsia="pt-BR" w:bidi="ar-SA"/>
                    </w:rPr>
                  </w:pPr>
                </w:p>
              </w:tc>
            </w:tr>
          </w:tbl>
          <w:p w:rsidR="008E374F" w:rsidRDefault="009334CA" w14:paraId="4FC915E4" w14:textId="77777777">
            <w:pPr>
              <w:pStyle w:val="Textbody"/>
              <w:spacing w:after="119"/>
              <w:ind w:firstLine="283"/>
              <w:jc w:val="both"/>
              <w:rPr>
                <w:rFonts w:ascii="Calibri" w:hAnsi="Calibri" w:eastAsia="Arial" w:cs="Arial"/>
                <w:color w:val="FF3333"/>
              </w:rPr>
            </w:pPr>
            <w:r>
              <w:rPr>
                <w:rFonts w:ascii="Calibri" w:hAnsi="Calibri" w:eastAsia="Arial" w:cs="Arial"/>
                <w:color w:val="FF3333"/>
              </w:rPr>
              <w:t>Exemplo de diretrizes de tratamento de riscos:</w:t>
            </w:r>
          </w:p>
          <w:p w:rsidR="008E374F" w:rsidRDefault="009334CA" w14:paraId="7059A511" w14:textId="77777777">
            <w:pPr>
              <w:pStyle w:val="Textbody"/>
              <w:spacing w:after="119"/>
              <w:ind w:firstLine="283"/>
              <w:jc w:val="both"/>
              <w:rPr>
                <w:rFonts w:ascii="Calibri" w:hAnsi="Calibri" w:eastAsia="Arial" w:cs="Arial"/>
                <w:i/>
                <w:iCs/>
                <w:color w:val="FF3333"/>
              </w:rPr>
            </w:pPr>
            <w:r>
              <w:rPr>
                <w:rFonts w:ascii="Calibri" w:hAnsi="Calibri" w:eastAsia="Arial" w:cs="Arial"/>
                <w:i/>
                <w:iCs/>
                <w:color w:val="FF3333"/>
              </w:rPr>
              <w:t>O produto da probabilidade pelo impacto de cada risco deve se enquadrar em uma região da matriz probabilidade x impacto. Caso o risco enquadre-se na região verde, seu nível de risco é entendido como baixo, logo admite-se a aceitação ou adoção das medidas preventivas. Se estiver na região amarela, entende-se como médio; e se estiver na região vermelha, entende-se como nível de risco alto. Nos casos de riscos classificados como médio e alto, deve-se adotar obrigatoriamente as medidas preventivas previstas.</w:t>
            </w:r>
          </w:p>
          <w:p w:rsidR="008E374F" w:rsidRDefault="009334CA" w14:paraId="3A1E63D4" w14:textId="77777777">
            <w:pPr>
              <w:pStyle w:val="Textbody"/>
              <w:spacing w:after="119"/>
              <w:ind w:firstLine="283"/>
              <w:jc w:val="both"/>
              <w:rPr>
                <w:rFonts w:ascii="Calibri" w:hAnsi="Calibri" w:eastAsia="Arial" w:cs="Arial"/>
                <w:i/>
                <w:iCs/>
                <w:color w:val="FF3333"/>
              </w:rPr>
            </w:pPr>
            <w:r>
              <w:rPr>
                <w:rFonts w:ascii="Calibri" w:hAnsi="Calibri" w:eastAsia="Arial" w:cs="Arial"/>
                <w:i/>
                <w:iCs/>
                <w:color w:val="FF3333"/>
              </w:rPr>
              <w:t>O gerenciamento de riscos deve ser realizado em harmonia com a Política de Gestão de Riscos do órgão prevista na Instrução Normativa Conjunta MP/CGU nº 1, de 10 de maio de 2016, registrando-se o alinhamento no Mapa de Gerenciamento de Riscos&gt;.</w:t>
            </w:r>
          </w:p>
          <w:p w:rsidR="008E374F" w:rsidRDefault="009334CA" w14:paraId="3AE89029" w14:textId="77777777">
            <w:pPr>
              <w:snapToGrid w:val="0"/>
              <w:spacing w:after="119"/>
              <w:jc w:val="both"/>
            </w:pPr>
            <w:r>
              <w:rPr>
                <w:rFonts w:ascii="Calibri" w:hAnsi="Calibri" w:cs="Arial"/>
                <w:b/>
                <w:bCs/>
              </w:rPr>
              <w:t>Referência: Art. 38 IN SGD/ME nº 94, de 2022.</w:t>
            </w:r>
          </w:p>
        </w:tc>
      </w:tr>
    </w:tbl>
    <w:p w:rsidR="008E374F" w:rsidRDefault="008E374F" w14:paraId="2592752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p w:rsidR="008E374F" w:rsidRDefault="008E374F" w14:paraId="7EA47177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8E374F" w14:paraId="2C39A7F0" w14:textId="77777777">
        <w:tc>
          <w:tcPr>
            <w:tcW w:w="9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05A1D373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2 – IDENTIFICAÇÃO E ANÁLISE DOS PRINCIPAIS RISCOS</w:t>
            </w:r>
          </w:p>
        </w:tc>
      </w:tr>
    </w:tbl>
    <w:p w:rsidR="008E374F" w:rsidRDefault="009334CA" w14:paraId="3AEC6EC4" w14:textId="77777777">
      <w:pPr>
        <w:pStyle w:val="Standard"/>
        <w:snapToGrid w:val="0"/>
        <w:spacing w:after="119"/>
        <w:jc w:val="both"/>
        <w:rPr>
          <w:rFonts w:ascii="Calibri" w:hAnsi="Calibri" w:eastAsia="Arial" w:cs="Arial"/>
        </w:rPr>
      </w:pPr>
      <w:r>
        <w:rPr>
          <w:rFonts w:ascii="Calibri" w:hAnsi="Calibri" w:eastAsia="Arial" w:cs="Arial"/>
        </w:rPr>
        <w:t>A tabela a seguir apresenta uma síntese dos riscos identificados e classificados neste documento.</w:t>
      </w:r>
    </w:p>
    <w:tbl>
      <w:tblPr>
        <w:tblW w:w="9425" w:type="dxa"/>
        <w:tblInd w:w="-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305"/>
        <w:gridCol w:w="2010"/>
        <w:gridCol w:w="420"/>
        <w:gridCol w:w="690"/>
        <w:gridCol w:w="1550"/>
      </w:tblGrid>
      <w:tr w:rsidR="008E374F" w:rsidTr="7C699B54" w14:paraId="12E53481" w14:textId="77777777">
        <w:trPr>
          <w:trHeight w:val="567"/>
        </w:trPr>
        <w:tc>
          <w:tcPr>
            <w:tcW w:w="4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B62211C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Id</w:t>
            </w:r>
          </w:p>
        </w:tc>
        <w:tc>
          <w:tcPr>
            <w:tcW w:w="430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E9CE2BA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Risco</w:t>
            </w:r>
          </w:p>
        </w:tc>
        <w:tc>
          <w:tcPr>
            <w:tcW w:w="201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3B2ABDA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Relacionado ao(à):  </w:t>
            </w:r>
            <w:r>
              <w:rPr>
                <w:rFonts w:ascii="Calibri" w:hAnsi="Calibri"/>
                <w:b/>
                <w:bCs/>
                <w:color w:val="000000"/>
                <w:vertAlign w:val="superscript"/>
              </w:rPr>
              <w:t>1</w:t>
            </w:r>
          </w:p>
        </w:tc>
        <w:tc>
          <w:tcPr>
            <w:tcW w:w="42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P="2FC48CA0" w:rsidRDefault="009334CA" w14:paraId="78777919" w14:textId="2E1B1A9E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 w:themeColor="text1"/>
                <w:vertAlign w:val="superscript"/>
              </w:rPr>
            </w:pPr>
            <w:r w:rsidRPr="2FC48CA0">
              <w:rPr>
                <w:rFonts w:ascii="Calibri" w:hAnsi="Calibri"/>
                <w:b/>
                <w:bCs/>
                <w:color w:val="000000" w:themeColor="text1"/>
              </w:rPr>
              <w:t xml:space="preserve">P  </w:t>
            </w:r>
            <w:r w:rsidRPr="2FC48CA0" w:rsidR="4337C48D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P="2FC48CA0" w:rsidRDefault="009334CA" w14:paraId="4E0C5BC0" w14:textId="59784C44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 w:themeColor="text1"/>
                <w:vertAlign w:val="superscript"/>
              </w:rPr>
            </w:pPr>
            <w:r w:rsidRPr="2FC48CA0">
              <w:rPr>
                <w:rFonts w:ascii="Calibri" w:hAnsi="Calibri"/>
                <w:b/>
                <w:bCs/>
                <w:color w:val="000000" w:themeColor="text1"/>
              </w:rPr>
              <w:t xml:space="preserve">I  </w:t>
            </w:r>
          </w:p>
          <w:p w:rsidR="008E374F" w:rsidP="2FC48CA0" w:rsidRDefault="3CE3695A" w14:paraId="1A6DA90C" w14:textId="582C9994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2FC48CA0">
              <w:rPr>
                <w:rFonts w:ascii="Calibri" w:hAnsi="Calibri"/>
                <w:b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5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BFAF9A9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Nível de Risco</w:t>
            </w:r>
          </w:p>
          <w:p w:rsidR="008E374F" w:rsidRDefault="009334CA" w14:paraId="6648D376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(P x I)  </w:t>
            </w:r>
            <w:r>
              <w:rPr>
                <w:rFonts w:ascii="Calibri" w:hAnsi="Calibri"/>
                <w:b/>
                <w:bCs/>
                <w:color w:val="000000"/>
                <w:vertAlign w:val="superscript"/>
              </w:rPr>
              <w:t>4</w:t>
            </w:r>
          </w:p>
        </w:tc>
      </w:tr>
      <w:tr w:rsidR="008E374F" w:rsidTr="7C699B54" w14:paraId="428204B4" w14:textId="77777777">
        <w:trPr>
          <w:trHeight w:val="357"/>
        </w:trPr>
        <w:tc>
          <w:tcPr>
            <w:tcW w:w="4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E1BFC25" w14:textId="77777777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43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2A51BFE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&lt;Risco 1&gt;</w:t>
            </w:r>
          </w:p>
        </w:tc>
        <w:tc>
          <w:tcPr>
            <w:tcW w:w="201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632F9F2F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34FACBF4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146F2F7A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087D1B03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E374F" w:rsidTr="7C699B54" w14:paraId="1385EDA9" w14:textId="77777777">
        <w:trPr>
          <w:trHeight w:val="357"/>
        </w:trPr>
        <w:tc>
          <w:tcPr>
            <w:tcW w:w="4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0FB333A" w14:textId="77777777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43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FE8F6A4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&lt;Risco 2&gt;</w:t>
            </w:r>
          </w:p>
        </w:tc>
        <w:tc>
          <w:tcPr>
            <w:tcW w:w="201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774A9863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03C5119E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3A41936B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00C1527B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E374F" w:rsidTr="7C699B54" w14:paraId="33D7D45F" w14:textId="77777777">
        <w:trPr>
          <w:trHeight w:val="357"/>
        </w:trPr>
        <w:tc>
          <w:tcPr>
            <w:tcW w:w="45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3FB2FFC" w14:textId="77777777">
            <w:pPr>
              <w:pStyle w:val="TableContents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…</w:t>
            </w:r>
          </w:p>
        </w:tc>
        <w:tc>
          <w:tcPr>
            <w:tcW w:w="43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66C8F62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&lt;Risco N&gt;</w:t>
            </w:r>
          </w:p>
        </w:tc>
        <w:tc>
          <w:tcPr>
            <w:tcW w:w="201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2DC5609B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0817ECC5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9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18E30438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58258E7A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8E374F" w:rsidRDefault="009334CA" w14:paraId="79FB0DD6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i/>
          <w:iCs/>
          <w:sz w:val="20"/>
          <w:szCs w:val="20"/>
        </w:rPr>
      </w:pPr>
      <w:r>
        <w:rPr>
          <w:rFonts w:ascii="Calibri" w:hAnsi="Calibri" w:cs="Arial"/>
          <w:i/>
          <w:iCs/>
          <w:sz w:val="20"/>
          <w:szCs w:val="20"/>
        </w:rPr>
        <w:t>Legenda: P – Probabilidade; I – Impacto.</w:t>
      </w:r>
    </w:p>
    <w:p w:rsidR="008E374F" w:rsidRDefault="009334CA" w14:paraId="2F4EB5F7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</w:pPr>
      <w:r>
        <w:rPr>
          <w:rFonts w:ascii="Calibri" w:hAnsi="Calibri" w:cs="Arial"/>
          <w:i/>
          <w:iCs/>
          <w:sz w:val="20"/>
          <w:szCs w:val="20"/>
          <w:vertAlign w:val="superscript"/>
        </w:rPr>
        <w:t>1</w:t>
      </w:r>
      <w:r>
        <w:rPr>
          <w:rFonts w:ascii="Calibri" w:hAnsi="Calibri" w:cs="Arial"/>
          <w:i/>
          <w:iCs/>
          <w:sz w:val="20"/>
          <w:szCs w:val="20"/>
        </w:rPr>
        <w:t xml:space="preserve"> A qual natureza o risco está associado: fases do Processo da Contratação ou Solução Tecnológica.</w:t>
      </w:r>
    </w:p>
    <w:p w:rsidR="008E374F" w:rsidRDefault="009334CA" w14:paraId="79A79BD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</w:pPr>
      <w:r>
        <w:rPr>
          <w:rFonts w:ascii="Calibri" w:hAnsi="Calibri" w:cs="Arial"/>
          <w:i/>
          <w:iCs/>
          <w:sz w:val="20"/>
          <w:szCs w:val="20"/>
          <w:vertAlign w:val="superscript"/>
        </w:rPr>
        <w:t>2</w:t>
      </w:r>
      <w:r>
        <w:rPr>
          <w:rFonts w:ascii="Calibri" w:hAnsi="Calibri" w:cs="Arial"/>
          <w:i/>
          <w:iCs/>
          <w:sz w:val="20"/>
          <w:szCs w:val="20"/>
        </w:rPr>
        <w:t xml:space="preserve"> Probabilidade: chance de algo acontecer, não importando se definida, medida ou determinada objetiva ou subjetivamente, qualitativa ou quantitativamente, ou se descrita utilizando-se termos gerais ou matemáticos (ISO/IEC 31000:2009, item 2.19).</w:t>
      </w:r>
    </w:p>
    <w:p w:rsidR="008E374F" w:rsidRDefault="009334CA" w14:paraId="2E139D5E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</w:pPr>
      <w:r>
        <w:rPr>
          <w:rFonts w:ascii="Calibri" w:hAnsi="Calibri" w:cs="Arial"/>
          <w:i/>
          <w:iCs/>
          <w:sz w:val="20"/>
          <w:szCs w:val="20"/>
          <w:vertAlign w:val="superscript"/>
        </w:rPr>
        <w:t>3</w:t>
      </w:r>
      <w:r>
        <w:rPr>
          <w:rFonts w:ascii="Calibri" w:hAnsi="Calibri" w:cs="Arial"/>
          <w:i/>
          <w:iCs/>
          <w:sz w:val="20"/>
          <w:szCs w:val="20"/>
        </w:rPr>
        <w:t xml:space="preserve"> Impacto: resultado de um evento que afeta os objetivos (ISO/IEC 31000:2009, item 2.18).</w:t>
      </w:r>
    </w:p>
    <w:p w:rsidR="008E374F" w:rsidRDefault="009334CA" w14:paraId="4188F398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  <w:r>
        <w:rPr>
          <w:rFonts w:ascii="Calibri" w:hAnsi="Calibri" w:cs="Arial"/>
          <w:i/>
          <w:iCs/>
          <w:sz w:val="20"/>
          <w:szCs w:val="20"/>
          <w:vertAlign w:val="superscript"/>
        </w:rPr>
        <w:t>4</w:t>
      </w:r>
      <w:r>
        <w:rPr>
          <w:rFonts w:ascii="Calibri" w:hAnsi="Calibri" w:cs="Arial"/>
          <w:i/>
          <w:iCs/>
          <w:sz w:val="20"/>
          <w:szCs w:val="20"/>
        </w:rPr>
        <w:t xml:space="preserve"> Nível de Risco: magnitude de um risco ou combinação de riscos, expressa em termos da combinação das consequências e de suas probabilidades (ISO/IEC 31000:2009, item 2.23 e IN SGD/ME nº 94, de 2022, art. 2º, inciso XIII).</w:t>
      </w:r>
    </w:p>
    <w:p w:rsidR="008E374F" w:rsidRDefault="009334CA" w14:paraId="3DF5DCE5" w14:textId="24E0ABCB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</w:pPr>
      <w:r w:rsidRPr="2FC48CA0">
        <w:rPr>
          <w:rFonts w:ascii="Calibri" w:hAnsi="Calibri" w:cs="Arial"/>
          <w:i/>
          <w:iCs/>
          <w:color w:val="FF3333"/>
        </w:rPr>
        <w:t>&lt;Lembrete: As probabilidades e Impactos são inicialmente definidos no item 3 – Avaliação e Tratamento dos Riscos Identificados</w:t>
      </w:r>
      <w:r w:rsidRPr="2FC48CA0" w:rsidR="4A5B5058">
        <w:rPr>
          <w:rFonts w:ascii="Calibri" w:hAnsi="Calibri" w:cs="Arial"/>
          <w:i/>
          <w:iCs/>
          <w:color w:val="FF3333"/>
        </w:rPr>
        <w:t>,</w:t>
      </w:r>
      <w:r w:rsidRPr="2FC48CA0">
        <w:rPr>
          <w:rFonts w:ascii="Calibri" w:hAnsi="Calibri" w:cs="Arial"/>
          <w:i/>
          <w:iCs/>
          <w:color w:val="FF3333"/>
        </w:rPr>
        <w:t xml:space="preserve"> e transferidos para a tabela acima para o cálculo dos níveis de risco&gt;.</w:t>
      </w:r>
    </w:p>
    <w:p w:rsidR="008E374F" w:rsidRDefault="008E374F" w14:paraId="1C280C65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b/>
          <w:bCs/>
          <w:sz w:val="16"/>
          <w:szCs w:val="16"/>
        </w:rPr>
      </w:pPr>
    </w:p>
    <w:p w:rsidR="008E374F" w:rsidRDefault="009334CA" w14:paraId="477031F1" w14:textId="77777777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</w:pPr>
      <w:r>
        <w:rPr>
          <w:rFonts w:ascii="Calibri" w:hAnsi="Calibri" w:cs="Arial"/>
          <w:color w:val="FF3333"/>
        </w:rPr>
        <w:t xml:space="preserve">&lt;A seguir encontra-se um </w:t>
      </w:r>
      <w:r>
        <w:rPr>
          <w:rFonts w:ascii="Calibri" w:hAnsi="Calibri" w:cs="Arial"/>
          <w:b/>
          <w:bCs/>
          <w:color w:val="FF3333"/>
        </w:rPr>
        <w:t>exemplo</w:t>
      </w:r>
      <w:r>
        <w:rPr>
          <w:rFonts w:ascii="Calibri" w:hAnsi="Calibri" w:cs="Arial"/>
          <w:color w:val="FF3333"/>
        </w:rPr>
        <w:t xml:space="preserve"> de relação de riscos, não exaustiva, de uma contratação de serviços de desenvolvimento e manutenção de software&gt;.</w:t>
      </w:r>
    </w:p>
    <w:p w:rsidR="008E374F" w:rsidRDefault="008E374F" w14:paraId="3638CDAF" w14:textId="77777777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b/>
          <w:bCs/>
          <w:sz w:val="16"/>
          <w:szCs w:val="16"/>
        </w:rPr>
      </w:pPr>
    </w:p>
    <w:tbl>
      <w:tblPr>
        <w:tblW w:w="9420" w:type="dxa"/>
        <w:tblInd w:w="-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713"/>
        <w:gridCol w:w="1767"/>
        <w:gridCol w:w="465"/>
        <w:gridCol w:w="480"/>
        <w:gridCol w:w="1545"/>
      </w:tblGrid>
      <w:tr w:rsidR="008E374F" w14:paraId="1D35F640" w14:textId="77777777">
        <w:trPr>
          <w:trHeight w:val="567"/>
        </w:trPr>
        <w:tc>
          <w:tcPr>
            <w:tcW w:w="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C3771F7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Id</w:t>
            </w:r>
          </w:p>
        </w:tc>
        <w:tc>
          <w:tcPr>
            <w:tcW w:w="4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61BDDD5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Risco</w:t>
            </w:r>
          </w:p>
        </w:tc>
        <w:tc>
          <w:tcPr>
            <w:tcW w:w="17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61A0AB2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Relacionado ao(à):</w:t>
            </w:r>
          </w:p>
        </w:tc>
        <w:tc>
          <w:tcPr>
            <w:tcW w:w="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0193219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P</w:t>
            </w:r>
          </w:p>
        </w:tc>
        <w:tc>
          <w:tcPr>
            <w:tcW w:w="4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1A39DFC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I</w:t>
            </w:r>
          </w:p>
        </w:tc>
        <w:tc>
          <w:tcPr>
            <w:tcW w:w="15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CF08929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Nível de Risco</w:t>
            </w:r>
          </w:p>
          <w:p w:rsidR="008E374F" w:rsidRDefault="009334CA" w14:paraId="62CAE812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FF3333"/>
              </w:rPr>
            </w:pPr>
            <w:r>
              <w:rPr>
                <w:rFonts w:ascii="Calibri" w:hAnsi="Calibri"/>
                <w:b/>
                <w:bCs/>
                <w:color w:val="FF3333"/>
              </w:rPr>
              <w:t>(P x I)</w:t>
            </w:r>
          </w:p>
        </w:tc>
      </w:tr>
      <w:tr w:rsidR="008E374F" w14:paraId="1D11D99C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A34A47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R01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095E09E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Alteração do escopo dos serviços a serem contratados.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0D6C52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A55FBAD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FA4F084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5ABDB89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8E374F" w14:paraId="0BDCAED0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0D5EA0C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R02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980A6ED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Não elaboração do Roteiro Próprio de Métricas de Software.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790A067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2663BC7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7100926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D3BD810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</w:tr>
      <w:tr w:rsidR="008E374F" w14:paraId="68FE122D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C2B229A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R03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DDB3AE6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Falta de clareza pelo requisitante quanto às demandas a serem desenvolvidas e manutenidas.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E6F51F0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FA7297E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AEFC7A6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BCB1553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150</w:t>
            </w:r>
          </w:p>
        </w:tc>
      </w:tr>
      <w:tr w:rsidR="008E374F" w14:paraId="38471FDB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60C4074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R04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F11A8DC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Atraso no processo administrativo de contratação.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387F089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123B832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25E3CE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452D1CB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</w:tr>
      <w:tr w:rsidR="008E374F" w14:paraId="7414BEEF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B9DD67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R05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13A99FC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Ausência do Processo de Desenvolvimento de Software.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03215D7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C7CA2E8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4829B44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18B3248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8E374F" w14:paraId="7E40B9FB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AEDBB4D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R06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D376923" w14:textId="77777777">
            <w:pPr>
              <w:pStyle w:val="Standard"/>
              <w:jc w:val="both"/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 xml:space="preserve">Ausência dos </w:t>
            </w:r>
            <w:r>
              <w:rPr>
                <w:rFonts w:ascii="Calibri" w:hAnsi="Calibri"/>
                <w:i/>
                <w:iCs/>
                <w:color w:val="FF3333"/>
                <w:sz w:val="20"/>
                <w:szCs w:val="20"/>
              </w:rPr>
              <w:t>templates</w:t>
            </w:r>
            <w:r>
              <w:rPr>
                <w:rFonts w:ascii="Calibri" w:hAnsi="Calibri"/>
                <w:color w:val="FF3333"/>
                <w:sz w:val="20"/>
                <w:szCs w:val="20"/>
              </w:rPr>
              <w:t xml:space="preserve"> dos documentos do Processo de Desenvolvimento de Software.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1C960B3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58F659B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939B618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66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60B657A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50</w:t>
            </w:r>
          </w:p>
        </w:tc>
      </w:tr>
      <w:tr w:rsidR="008E374F" w14:paraId="6EBD56D3" w14:textId="77777777">
        <w:trPr>
          <w:trHeight w:val="357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42BC906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R07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ECBA1F3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Prazo insuficiente para a adequada realização do planejamento da contratação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510DF04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Planejamento da Contratação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3485A1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9B61D8B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A9845DE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150</w:t>
            </w:r>
          </w:p>
        </w:tc>
      </w:tr>
      <w:tr w:rsidR="008E374F" w14:paraId="5615B0C4" w14:textId="77777777">
        <w:trPr>
          <w:trHeight w:val="300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0B8BC2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R08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A1847B0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Atraso ou suspensão no processo licitatório em face de impugnações.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0832B71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Seleção do Fornecedor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3265550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0A38793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C94DE01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150</w:t>
            </w:r>
          </w:p>
        </w:tc>
      </w:tr>
      <w:tr w:rsidR="008E374F" w14:paraId="5DA319D4" w14:textId="77777777">
        <w:trPr>
          <w:trHeight w:val="300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92B385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R09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A1CC24A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Valores licitados superiores aos estimados para a contratação dos serviços.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C56473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Seleção do Fornecedor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4F68A2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11FDCF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E6C591A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  <w:tr w:rsidR="008E374F" w14:paraId="73023255" w14:textId="77777777">
        <w:trPr>
          <w:trHeight w:val="300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522C816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R10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262C750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Contratação de fornecedor com baixa qualificação técnica.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285214E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Seleção do Fornecedor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85B6DA1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6896720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045DB7D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  <w:tr w:rsidR="008E374F" w14:paraId="09350A7F" w14:textId="77777777">
        <w:trPr>
          <w:trHeight w:val="273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651E49C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R11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EBC06B7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Falta de ferramenta própria para gestão de demandas de Fábrica de Software.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E5A96B7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Gestão Contratual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454A440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E2E06C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6C8320D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225</w:t>
            </w:r>
          </w:p>
        </w:tc>
      </w:tr>
      <w:tr w:rsidR="008E374F" w14:paraId="49A884C3" w14:textId="77777777">
        <w:trPr>
          <w:trHeight w:val="216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2E0619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R12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50C7ADB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Falta de dotação orçamentária para execução do contrato.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AD1E259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Gestão Contratual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0E55269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8977D6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6B3C565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</w:tr>
      <w:tr w:rsidR="008E374F" w14:paraId="17D973CE" w14:textId="77777777">
        <w:trPr>
          <w:trHeight w:val="216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0FA1B35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R13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5F2AF72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Baixa qualificação técnica dos profissionais da empresa para execução do contrato.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A419788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Gestão Contratual e Solução Tecnológica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15F24A2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A0D27CD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5BCD237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100</w:t>
            </w:r>
          </w:p>
        </w:tc>
      </w:tr>
      <w:tr w:rsidR="008E374F" w14:paraId="4DA71F2D" w14:textId="77777777">
        <w:trPr>
          <w:trHeight w:val="264"/>
        </w:trPr>
        <w:tc>
          <w:tcPr>
            <w:tcW w:w="45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C3C67ED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R14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46BAA85" w14:textId="77777777">
            <w:pPr>
              <w:pStyle w:val="Standard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Indisponibilidade de sistemas por erro no desenvolvimento ou falha na aplicação.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179655E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Gestão Contratual e Solução Tecnológica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93291B4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40C75F7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D165AD3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150</w:t>
            </w:r>
          </w:p>
        </w:tc>
      </w:tr>
      <w:tr w:rsidR="008E374F" w14:paraId="75848C5A" w14:textId="77777777">
        <w:trPr>
          <w:trHeight w:val="264"/>
        </w:trPr>
        <w:tc>
          <w:tcPr>
            <w:tcW w:w="450" w:type="dxa"/>
            <w:tcBorders>
              <w:left w:val="single" w:color="000000" w:sz="2" w:space="0"/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F63E8FA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R15</w:t>
            </w:r>
          </w:p>
        </w:tc>
        <w:tc>
          <w:tcPr>
            <w:tcW w:w="4713" w:type="dxa"/>
            <w:tcBorders>
              <w:left w:val="single" w:color="000000" w:sz="2" w:space="0"/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6ED7A50" w14:textId="77777777">
            <w:pPr>
              <w:pStyle w:val="Standard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Vazamento de dados e informações pelos funcionários da contratada.</w:t>
            </w:r>
          </w:p>
        </w:tc>
        <w:tc>
          <w:tcPr>
            <w:tcW w:w="1767" w:type="dxa"/>
            <w:tcBorders>
              <w:left w:val="single" w:color="000000" w:sz="2" w:space="0"/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F7A3171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Gestão Contratual</w:t>
            </w:r>
          </w:p>
        </w:tc>
        <w:tc>
          <w:tcPr>
            <w:tcW w:w="465" w:type="dxa"/>
            <w:tcBorders>
              <w:left w:val="single" w:color="000000" w:sz="2" w:space="0"/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DC7A8D9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10</w:t>
            </w:r>
          </w:p>
        </w:tc>
        <w:tc>
          <w:tcPr>
            <w:tcW w:w="480" w:type="dxa"/>
            <w:tcBorders>
              <w:left w:val="single" w:color="000000" w:sz="2" w:space="0"/>
              <w:bottom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FA55CC8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5E53739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150</w:t>
            </w:r>
          </w:p>
        </w:tc>
      </w:tr>
      <w:tr w:rsidR="008E374F" w14:paraId="1B94BC6F" w14:textId="77777777">
        <w:trPr>
          <w:trHeight w:val="264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9094244" w14:textId="77777777">
            <w:pPr>
              <w:ind w:left="4"/>
            </w:pPr>
            <w:r>
              <w:rPr>
                <w:rFonts w:ascii="Calibri" w:hAnsi="Calibri"/>
                <w:color w:val="FF3333"/>
                <w:sz w:val="20"/>
              </w:rPr>
              <w:t>R16</w:t>
            </w:r>
          </w:p>
        </w:tc>
        <w:tc>
          <w:tcPr>
            <w:tcW w:w="4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340285B" w14:textId="77777777">
            <w:pPr>
              <w:jc w:val="both"/>
            </w:pPr>
            <w:r>
              <w:rPr>
                <w:rFonts w:ascii="Calibri" w:hAnsi="Calibri"/>
                <w:color w:val="FF3333"/>
                <w:sz w:val="20"/>
              </w:rPr>
              <w:t>Ausência de ferramentas para controle do ciclo de desenvolvimento e manutenção de software (ferramenta de testes, repositório com versionamento, ferramenta de integração contínua, ferramenta de análise de qualidade de código).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F591C6C" w14:textId="77777777">
            <w:pPr>
              <w:jc w:val="center"/>
            </w:pPr>
            <w:r>
              <w:rPr>
                <w:rFonts w:ascii="Calibri" w:hAnsi="Calibri"/>
                <w:color w:val="FF3333"/>
                <w:sz w:val="20"/>
              </w:rPr>
              <w:t>Gestão Contratual</w:t>
            </w:r>
          </w:p>
        </w:tc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8A454B2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351F512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A33AD86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  <w:tr w:rsidR="008E374F" w14:paraId="31269DB3" w14:textId="77777777">
        <w:trPr>
          <w:trHeight w:val="264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40D9E21" w14:textId="77777777">
            <w:pPr>
              <w:ind w:left="4"/>
            </w:pPr>
            <w:r>
              <w:rPr>
                <w:rFonts w:ascii="Calibri" w:hAnsi="Calibri"/>
                <w:color w:val="FF3333"/>
                <w:sz w:val="20"/>
              </w:rPr>
              <w:t>R17</w:t>
            </w:r>
          </w:p>
        </w:tc>
        <w:tc>
          <w:tcPr>
            <w:tcW w:w="4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9782D7C" w14:textId="77777777">
            <w:pPr>
              <w:jc w:val="both"/>
            </w:pPr>
            <w:r>
              <w:rPr>
                <w:rFonts w:ascii="Calibri" w:hAnsi="Calibri"/>
                <w:color w:val="FF3333"/>
                <w:sz w:val="20"/>
              </w:rPr>
              <w:t>Expedição de demandas (solicitações de execução do objeto) além da capacidade de controle e de fiscalização.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275AB30" w14:textId="77777777">
            <w:pPr>
              <w:jc w:val="center"/>
            </w:pPr>
            <w:r>
              <w:rPr>
                <w:rFonts w:ascii="Calibri" w:hAnsi="Calibri"/>
                <w:color w:val="FF3333"/>
                <w:sz w:val="20"/>
              </w:rPr>
              <w:t>Gestão Contratual</w:t>
            </w:r>
          </w:p>
        </w:tc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73532AB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EE5A8FB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33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B907D60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225</w:t>
            </w:r>
          </w:p>
        </w:tc>
      </w:tr>
      <w:tr w:rsidR="008E374F" w14:paraId="1A31F7A6" w14:textId="77777777">
        <w:trPr>
          <w:trHeight w:val="264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317C9CFE" w14:textId="77777777">
            <w:pPr>
              <w:ind w:left="4"/>
            </w:pPr>
            <w:r>
              <w:rPr>
                <w:rFonts w:ascii="Calibri" w:hAnsi="Calibri"/>
                <w:color w:val="FF3333"/>
                <w:sz w:val="20"/>
              </w:rPr>
              <w:t>R18</w:t>
            </w:r>
          </w:p>
        </w:tc>
        <w:tc>
          <w:tcPr>
            <w:tcW w:w="4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49F8242" w14:textId="77777777">
            <w:pPr>
              <w:jc w:val="both"/>
            </w:pPr>
            <w:r>
              <w:rPr>
                <w:rFonts w:ascii="Calibri" w:hAnsi="Calibri"/>
                <w:color w:val="FF3333"/>
                <w:sz w:val="20"/>
              </w:rPr>
              <w:t>Qualificação técnica e operacional insuficiente dos Fiscais Técnicos do contrato.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654EA7A" w14:textId="77777777">
            <w:pPr>
              <w:jc w:val="center"/>
            </w:pPr>
            <w:r>
              <w:rPr>
                <w:rFonts w:ascii="Calibri" w:hAnsi="Calibri"/>
                <w:color w:val="FF3333"/>
                <w:sz w:val="20"/>
              </w:rPr>
              <w:t>Gestão Contratual</w:t>
            </w:r>
          </w:p>
        </w:tc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2B4359E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679CC70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9A49697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  <w:tr w:rsidR="008E374F" w14:paraId="2BED0D16" w14:textId="77777777">
        <w:trPr>
          <w:trHeight w:val="264"/>
        </w:trPr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9F65826" w14:textId="77777777">
            <w:pPr>
              <w:ind w:left="4"/>
              <w:rPr>
                <w:rFonts w:ascii="Calibri" w:hAnsi="Calibri"/>
                <w:color w:val="FF3333"/>
                <w:sz w:val="20"/>
              </w:rPr>
            </w:pPr>
            <w:r>
              <w:rPr>
                <w:rFonts w:ascii="Calibri" w:hAnsi="Calibri"/>
                <w:color w:val="FF3333"/>
                <w:sz w:val="20"/>
              </w:rPr>
              <w:t>R19</w:t>
            </w:r>
          </w:p>
        </w:tc>
        <w:tc>
          <w:tcPr>
            <w:tcW w:w="4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AA07029" w14:textId="77777777">
            <w:pPr>
              <w:jc w:val="both"/>
              <w:rPr>
                <w:rFonts w:ascii="Calibri" w:hAnsi="Calibri"/>
                <w:color w:val="FF3333"/>
                <w:sz w:val="20"/>
              </w:rPr>
            </w:pPr>
            <w:r>
              <w:rPr>
                <w:rFonts w:ascii="Calibri" w:hAnsi="Calibri"/>
                <w:color w:val="FF3333"/>
                <w:sz w:val="20"/>
              </w:rPr>
              <w:t>Descumprimento dos níveis de serviço previstos no Planejamento da Contratação.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7FBC43E" w14:textId="77777777">
            <w:pPr>
              <w:jc w:val="center"/>
              <w:rPr>
                <w:rFonts w:ascii="Calibri" w:hAnsi="Calibri"/>
                <w:color w:val="FF3333"/>
                <w:sz w:val="20"/>
              </w:rPr>
            </w:pPr>
            <w:r>
              <w:rPr>
                <w:rFonts w:ascii="Calibri" w:hAnsi="Calibri"/>
                <w:color w:val="FF3333"/>
                <w:sz w:val="20"/>
              </w:rPr>
              <w:t>Gestão Contratual</w:t>
            </w:r>
          </w:p>
        </w:tc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0A42EDA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5</w:t>
            </w:r>
          </w:p>
        </w:tc>
        <w:tc>
          <w:tcPr>
            <w:tcW w:w="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5A6411B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15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61C6F78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75</w:t>
            </w:r>
          </w:p>
        </w:tc>
      </w:tr>
    </w:tbl>
    <w:p w:rsidR="008E374F" w:rsidRDefault="008E374F" w14:paraId="401BCB3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b/>
          <w:bCs/>
        </w:rPr>
      </w:pPr>
    </w:p>
    <w:p w:rsidR="008E374F" w:rsidRDefault="008E374F" w14:paraId="054F44F0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b/>
          <w:bCs/>
        </w:rPr>
      </w:pPr>
    </w:p>
    <w:tbl>
      <w:tblPr>
        <w:tblW w:w="9434" w:type="dxa"/>
        <w:tblInd w:w="-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4"/>
      </w:tblGrid>
      <w:tr w:rsidR="008E374F" w14:paraId="2243E8A3" w14:textId="77777777">
        <w:tc>
          <w:tcPr>
            <w:tcW w:w="94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4D1463C2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3 – AVALIAÇÃO E TRATAMENTO DOS RISCOS IDENTIFICADOS</w:t>
            </w:r>
          </w:p>
        </w:tc>
      </w:tr>
    </w:tbl>
    <w:p w:rsidR="008E374F" w:rsidRDefault="008E374F" w14:paraId="224082EB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color w:val="FF3333"/>
        </w:rPr>
      </w:pPr>
    </w:p>
    <w:p w:rsidR="008E374F" w:rsidRDefault="009334CA" w14:paraId="1FEB32B6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color w:val="FF3333"/>
        </w:rPr>
      </w:pPr>
      <w:r>
        <w:rPr>
          <w:rFonts w:ascii="Calibri" w:hAnsi="Calibri" w:cs="Arial"/>
          <w:color w:val="FF3333"/>
        </w:rPr>
        <w:t>&lt;Riscos do processo de contratação (planejamento, seleção de fornecedores e gestão do contrato), ou qualquer outro risco relevante relacionado à solução de Tecnologia da Informação e Comunicação identificados&gt;.</w:t>
      </w:r>
    </w:p>
    <w:p w:rsidR="008E374F" w:rsidRDefault="009334CA" w14:paraId="1D053295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color w:val="FF3333"/>
        </w:rPr>
      </w:pPr>
      <w:r>
        <w:rPr>
          <w:rFonts w:ascii="Calibri" w:hAnsi="Calibri" w:cs="Arial"/>
          <w:color w:val="FF3333"/>
        </w:rPr>
        <w:t>&lt;Para o tratamento de riscos, as seguintes opções podem ser selecionadas: evitar, reduzir ou mitigar, transferir ou compartilhar, e aceitar ou tolerar o risco&gt;.</w:t>
      </w:r>
    </w:p>
    <w:p w:rsidR="008E374F" w:rsidRDefault="009334CA" w14:paraId="6B723606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 w:cs="Arial"/>
          <w:color w:val="FF3333"/>
        </w:rPr>
      </w:pPr>
      <w:r>
        <w:rPr>
          <w:rFonts w:ascii="Calibri" w:hAnsi="Calibri" w:cs="Arial"/>
          <w:color w:val="FF3333"/>
        </w:rPr>
        <w:t>&lt;A seguir são apresentados alguns riscos meramente exemplificativos&gt;.</w:t>
      </w:r>
    </w:p>
    <w:p w:rsidR="008E374F" w:rsidRDefault="008E374F" w14:paraId="178F715A" w14:textId="77777777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napToGrid w:val="0"/>
        <w:spacing w:before="57" w:after="57"/>
        <w:jc w:val="both"/>
        <w:rPr>
          <w:rFonts w:ascii="Calibri" w:hAnsi="Calibri"/>
          <w:color w:val="FF3333"/>
        </w:rPr>
      </w:pPr>
    </w:p>
    <w:tbl>
      <w:tblPr>
        <w:tblW w:w="9513" w:type="dxa"/>
        <w:tblInd w:w="-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525"/>
        <w:gridCol w:w="1150"/>
        <w:gridCol w:w="5275"/>
        <w:gridCol w:w="1813"/>
      </w:tblGrid>
      <w:tr w:rsidR="008E374F" w14:paraId="77B9712E" w14:textId="77777777"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74FC5632" w14:textId="77777777">
            <w:pPr>
              <w:jc w:val="center"/>
            </w:pPr>
            <w:r>
              <w:rPr>
                <w:rFonts w:ascii="Calibri" w:hAnsi="Calibri"/>
                <w:b/>
                <w:color w:val="FF3333"/>
              </w:rPr>
              <w:t>Risco 08</w:t>
            </w:r>
          </w:p>
        </w:tc>
        <w:tc>
          <w:tcPr>
            <w:tcW w:w="167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0F83A777" w14:textId="77777777">
            <w:r>
              <w:rPr>
                <w:rFonts w:ascii="Calibri" w:hAnsi="Calibri"/>
                <w:b/>
                <w:color w:val="FF3333"/>
              </w:rPr>
              <w:t>Risco:</w:t>
            </w:r>
          </w:p>
        </w:tc>
        <w:tc>
          <w:tcPr>
            <w:tcW w:w="70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48BC37E7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Atraso ou suspensão no processo licitatório em face de impugnações.</w:t>
            </w:r>
          </w:p>
        </w:tc>
      </w:tr>
      <w:tr w:rsidR="008E374F" w14:paraId="483BCC39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2037F0DE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1D203191" w14:textId="77777777">
            <w:r>
              <w:rPr>
                <w:rFonts w:ascii="Calibri" w:hAnsi="Calibri"/>
                <w:b/>
                <w:color w:val="FF3333"/>
              </w:rPr>
              <w:t>Probabilidade:</w:t>
            </w:r>
          </w:p>
        </w:tc>
        <w:tc>
          <w:tcPr>
            <w:tcW w:w="70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771A5500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Alta</w:t>
            </w:r>
          </w:p>
        </w:tc>
      </w:tr>
      <w:tr w:rsidR="008E374F" w14:paraId="14B3D70A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39167DD9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2EE6D130" w14:textId="77777777">
            <w:r>
              <w:rPr>
                <w:rFonts w:ascii="Calibri" w:hAnsi="Calibri"/>
                <w:b/>
                <w:color w:val="FF3333"/>
              </w:rPr>
              <w:t>Impacto:</w:t>
            </w:r>
          </w:p>
        </w:tc>
        <w:tc>
          <w:tcPr>
            <w:tcW w:w="70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7F3F2BB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Médio</w:t>
            </w:r>
          </w:p>
        </w:tc>
      </w:tr>
      <w:tr w:rsidR="008E374F" w14:paraId="1E3F9BBC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524D4BB6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7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7A5E5DFB" w14:textId="77777777">
            <w:r>
              <w:rPr>
                <w:rFonts w:ascii="Calibri" w:hAnsi="Calibri"/>
                <w:b/>
                <w:color w:val="FF3333"/>
              </w:rPr>
              <w:t>Dano 1:</w:t>
            </w:r>
          </w:p>
        </w:tc>
        <w:tc>
          <w:tcPr>
            <w:tcW w:w="708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1148505C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Atraso na contratação e consequente indisponibilidade de sistemas por falta de manutenção em funcionalidades, acarretando a insatisfação e prejuízos aos usuários dos sistemas.</w:t>
            </w:r>
          </w:p>
        </w:tc>
      </w:tr>
      <w:tr w:rsidR="008E374F" w14:paraId="240D7389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09464BA0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75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68CFE1CF" w14:textId="77777777">
            <w:r>
              <w:rPr>
                <w:rFonts w:ascii="Calibri" w:hAnsi="Calibri"/>
                <w:b/>
                <w:color w:val="FF3333"/>
              </w:rPr>
              <w:t>Tratamento:</w:t>
            </w:r>
          </w:p>
        </w:tc>
        <w:tc>
          <w:tcPr>
            <w:tcW w:w="708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0A16B43E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Mitigar.</w:t>
            </w:r>
          </w:p>
        </w:tc>
      </w:tr>
      <w:tr w:rsidR="008E374F" w14:paraId="5B3696DA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33160D69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700D4949" w14:textId="77777777">
            <w:pPr>
              <w:ind w:left="42"/>
            </w:pPr>
            <w:r>
              <w:rPr>
                <w:rFonts w:ascii="Calibri" w:hAnsi="Calibri"/>
                <w:b/>
                <w:color w:val="FF3333"/>
              </w:rPr>
              <w:t>Id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48C1750C" w14:textId="77777777">
            <w:pPr>
              <w:ind w:left="4"/>
              <w:jc w:val="center"/>
            </w:pPr>
            <w:r>
              <w:rPr>
                <w:rFonts w:ascii="Calibri" w:hAnsi="Calibri"/>
                <w:b/>
                <w:color w:val="FF3333"/>
              </w:rPr>
              <w:t>Ação Preventiva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40B42D31" w14:textId="77777777">
            <w:pPr>
              <w:ind w:left="148"/>
            </w:pPr>
            <w:r>
              <w:rPr>
                <w:rFonts w:ascii="Calibri" w:hAnsi="Calibri"/>
                <w:b/>
                <w:color w:val="FF3333"/>
              </w:rPr>
              <w:t>Responsável</w:t>
            </w:r>
          </w:p>
        </w:tc>
      </w:tr>
      <w:tr w:rsidR="008E374F" w14:paraId="7A362B6F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5846122B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1333E7D2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495121DB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Elaboração do planejamento da contratação consultando soluções similares em outros órgãos.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488C9BBC" w14:textId="77777777">
            <w:pPr>
              <w:ind w:left="7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Equipe de</w:t>
            </w:r>
          </w:p>
          <w:p w:rsidR="008E374F" w:rsidRDefault="009334CA" w14:paraId="553F5895" w14:textId="77777777">
            <w:pPr>
              <w:ind w:left="15" w:right="10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Planejamento da Contratação</w:t>
            </w:r>
          </w:p>
        </w:tc>
      </w:tr>
      <w:tr w:rsidR="008E374F" w14:paraId="1359E01D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0B2D4354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27CA6AF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2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313781D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Definição dos critérios de seleção de fornecedores com respaldo na jurisprudência dos órgãos de controle.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7CF3E9FE" w14:textId="77777777">
            <w:pPr>
              <w:ind w:left="7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Equipe de</w:t>
            </w:r>
          </w:p>
          <w:p w:rsidR="008E374F" w:rsidRDefault="009334CA" w14:paraId="34649FF9" w14:textId="77777777">
            <w:pPr>
              <w:ind w:left="15" w:right="10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Planejamento da Contratação</w:t>
            </w:r>
          </w:p>
        </w:tc>
      </w:tr>
      <w:tr w:rsidR="008E374F" w14:paraId="5DED29C2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79F7650A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22EC2CCB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3</w:t>
            </w:r>
          </w:p>
        </w:tc>
        <w:tc>
          <w:tcPr>
            <w:tcW w:w="6425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597F1A79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Verificação do teor de impugnações e recursos em contrações similares.</w:t>
            </w:r>
          </w:p>
        </w:tc>
        <w:tc>
          <w:tcPr>
            <w:tcW w:w="181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7C276CAB" w14:textId="77777777">
            <w:pPr>
              <w:ind w:left="5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Equipe de</w:t>
            </w:r>
          </w:p>
          <w:p w:rsidR="008E374F" w:rsidRDefault="009334CA" w14:paraId="0F80DEB9" w14:textId="77777777">
            <w:pPr>
              <w:ind w:left="15" w:right="12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Planejamento da Contratação</w:t>
            </w:r>
          </w:p>
        </w:tc>
      </w:tr>
      <w:tr w:rsidR="008E374F" w14:paraId="38568B1D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6E67ED69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240BD19A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4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7474CF8B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Estrita observância às recomendações da área jurídica do órgão/entidade.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404AF617" w14:textId="77777777">
            <w:pPr>
              <w:ind w:left="5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Equipe de</w:t>
            </w:r>
          </w:p>
          <w:p w:rsidR="008E374F" w:rsidRDefault="009334CA" w14:paraId="16CFAE18" w14:textId="77777777">
            <w:pPr>
              <w:ind w:left="15" w:right="12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Planejamento da Contratação</w:t>
            </w:r>
          </w:p>
        </w:tc>
      </w:tr>
      <w:tr w:rsidR="008E374F" w14:paraId="64944F29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6B239A72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4FE8E91F" w14:textId="77777777">
            <w:pPr>
              <w:ind w:left="42"/>
            </w:pPr>
            <w:r>
              <w:rPr>
                <w:rFonts w:ascii="Calibri" w:hAnsi="Calibri"/>
                <w:b/>
                <w:color w:val="FF3333"/>
              </w:rPr>
              <w:t>Id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35441EB5" w14:textId="77777777">
            <w:pPr>
              <w:ind w:left="2"/>
              <w:jc w:val="center"/>
            </w:pPr>
            <w:r>
              <w:rPr>
                <w:rFonts w:ascii="Calibri" w:hAnsi="Calibri"/>
                <w:b/>
                <w:color w:val="FF3333"/>
              </w:rPr>
              <w:t>Ação de Contingência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115AD46F" w14:textId="77777777">
            <w:pPr>
              <w:ind w:left="148"/>
            </w:pPr>
            <w:r>
              <w:rPr>
                <w:rFonts w:ascii="Calibri" w:hAnsi="Calibri"/>
                <w:b/>
                <w:color w:val="FF3333"/>
              </w:rPr>
              <w:t>Responsável</w:t>
            </w:r>
          </w:p>
        </w:tc>
      </w:tr>
      <w:tr w:rsidR="008E374F" w14:paraId="5A428726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28ADB183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2A7FAB5C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7EDDA7CF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Alocação integral da Equipe de Planejamento da Contratação na resposta e mitigação das causas que originaram a suspensão do processo licitatório.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187BA3AB" w14:textId="77777777">
            <w:pPr>
              <w:ind w:left="4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XXXXX</w:t>
            </w:r>
          </w:p>
        </w:tc>
      </w:tr>
      <w:tr w:rsidR="008E374F" w14:paraId="555C9AF4" w14:textId="77777777">
        <w:tc>
          <w:tcPr>
            <w:tcW w:w="750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4547A734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5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68E64D08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2</w:t>
            </w:r>
          </w:p>
        </w:tc>
        <w:tc>
          <w:tcPr>
            <w:tcW w:w="642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66260F42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Mitigação e eliminação das causas que obstruem o processo licitatório.</w:t>
            </w:r>
          </w:p>
        </w:tc>
        <w:tc>
          <w:tcPr>
            <w:tcW w:w="18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5D2451A2" w14:textId="77777777">
            <w:pPr>
              <w:ind w:left="4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XXXXX</w:t>
            </w:r>
          </w:p>
        </w:tc>
      </w:tr>
    </w:tbl>
    <w:p w:rsidR="008E374F" w:rsidRDefault="008E374F" w14:paraId="5CB15A15" w14:textId="77777777">
      <w:pPr>
        <w:pStyle w:val="Standard"/>
      </w:pPr>
    </w:p>
    <w:p w:rsidR="008E374F" w:rsidRDefault="008E374F" w14:paraId="1AD9B07F" w14:textId="77777777">
      <w:pPr>
        <w:pStyle w:val="Standard"/>
      </w:pPr>
    </w:p>
    <w:p w:rsidR="008E374F" w:rsidRDefault="008E374F" w14:paraId="2C54BBF3" w14:textId="77777777">
      <w:pPr>
        <w:pStyle w:val="Standard"/>
      </w:pPr>
    </w:p>
    <w:tbl>
      <w:tblPr>
        <w:tblW w:w="9488" w:type="dxa"/>
        <w:tblInd w:w="-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"/>
        <w:gridCol w:w="425"/>
        <w:gridCol w:w="1262"/>
        <w:gridCol w:w="5438"/>
        <w:gridCol w:w="1625"/>
      </w:tblGrid>
      <w:tr w:rsidR="008E374F" w14:paraId="0197FB52" w14:textId="77777777">
        <w:tc>
          <w:tcPr>
            <w:tcW w:w="73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49BB1B84" w14:textId="77777777">
            <w:pPr>
              <w:jc w:val="center"/>
            </w:pPr>
            <w:r>
              <w:rPr>
                <w:rFonts w:ascii="Calibri" w:hAnsi="Calibri"/>
                <w:b/>
                <w:color w:val="FF3333"/>
              </w:rPr>
              <w:t>Risco 17</w:t>
            </w: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2A1B604F" w14:textId="77777777">
            <w:r>
              <w:rPr>
                <w:rFonts w:ascii="Calibri" w:hAnsi="Calibri"/>
                <w:b/>
                <w:color w:val="FF3333"/>
              </w:rPr>
              <w:t>Risco: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774A89DE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Expedição de demandas (solicitações de execução do objeto) além da capacidade de controle e de fiscalização.</w:t>
            </w:r>
          </w:p>
        </w:tc>
      </w:tr>
      <w:tr w:rsidR="008E374F" w14:paraId="30CBF682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3E911B08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5FC6DC1F" w14:textId="77777777">
            <w:r>
              <w:rPr>
                <w:rFonts w:ascii="Calibri" w:hAnsi="Calibri"/>
                <w:b/>
                <w:color w:val="FF3333"/>
              </w:rPr>
              <w:t>Probabilidade: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AF76AE0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Alta</w:t>
            </w:r>
          </w:p>
        </w:tc>
      </w:tr>
      <w:tr w:rsidR="008E374F" w14:paraId="26D6BB8F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1BBC98B2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2D3A925F" w14:textId="77777777">
            <w:r>
              <w:rPr>
                <w:rFonts w:ascii="Calibri" w:hAnsi="Calibri"/>
                <w:b/>
                <w:color w:val="FF3333"/>
              </w:rPr>
              <w:t>Impacto: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3B0E18B5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Alto</w:t>
            </w:r>
          </w:p>
        </w:tc>
      </w:tr>
      <w:tr w:rsidR="008E374F" w14:paraId="679F57DE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16E634B1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188038AE" w14:textId="77777777">
            <w:r>
              <w:rPr>
                <w:rFonts w:ascii="Calibri" w:hAnsi="Calibri"/>
                <w:b/>
                <w:color w:val="FF3333"/>
              </w:rPr>
              <w:t>Dano 1: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0A0B1E8A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Sobrecarga de trabalho para os fiscais do contrato.</w:t>
            </w:r>
          </w:p>
        </w:tc>
      </w:tr>
      <w:tr w:rsidR="008E374F" w14:paraId="4F041821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66FAC147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3CD5B4A2" w14:textId="77777777">
            <w:r>
              <w:rPr>
                <w:rFonts w:ascii="Calibri" w:hAnsi="Calibri"/>
                <w:b/>
                <w:color w:val="FF3333"/>
              </w:rPr>
              <w:t>Dano 2: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D7F7DA5" w14:textId="77777777">
            <w:pPr>
              <w:ind w:right="5"/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Fragilidades na gestão e fiscalização contratual, que geraram atestes errados dos resultados entregues e risco de pagamentos indevidos à empresa.</w:t>
            </w:r>
          </w:p>
        </w:tc>
      </w:tr>
      <w:tr w:rsidR="008E374F" w14:paraId="6DA2F767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6B1E871F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0D32A800" w14:textId="77777777">
            <w:r>
              <w:rPr>
                <w:rFonts w:ascii="Calibri" w:hAnsi="Calibri"/>
                <w:b/>
                <w:color w:val="FF3333"/>
              </w:rPr>
              <w:t>Dano 3: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B63C5AA" w14:textId="77777777">
            <w:pPr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Falta de atendimento ou atraso no atendimento das demandas de desenvolvimento e manutenção de sistemas e portais.</w:t>
            </w:r>
          </w:p>
        </w:tc>
      </w:tr>
      <w:tr w:rsidR="008E374F" w14:paraId="587CB285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1FFA12F2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57B59060" w14:textId="77777777">
            <w:r>
              <w:rPr>
                <w:rFonts w:ascii="Calibri" w:hAnsi="Calibri"/>
                <w:b/>
                <w:color w:val="FF3333"/>
              </w:rPr>
              <w:t>Dano 4: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6B709122" w14:textId="77777777">
            <w:pPr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Execução de projetos de sistemas e portais (novos e manutenção) sem acompanhamento da área de TIC ou com acompanhamento por pessoal sem a qualificação adequada, acarretando má qualidade nos produtos entregues.</w:t>
            </w:r>
          </w:p>
        </w:tc>
      </w:tr>
      <w:tr w:rsidR="008E374F" w14:paraId="4A245A1B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42D98B2E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2EBD4F02" w14:textId="77777777">
            <w:r>
              <w:rPr>
                <w:rFonts w:ascii="Calibri" w:hAnsi="Calibri"/>
                <w:b/>
                <w:color w:val="FF3333"/>
              </w:rPr>
              <w:t>Dano 5:</w:t>
            </w:r>
          </w:p>
        </w:tc>
        <w:tc>
          <w:tcPr>
            <w:tcW w:w="70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2F8CDDC3" w14:textId="77777777">
            <w:pPr>
              <w:ind w:right="3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Fragilidade do processo de gestão de requisitos.</w:t>
            </w:r>
          </w:p>
        </w:tc>
      </w:tr>
      <w:tr w:rsidR="008E374F" w14:paraId="5A747F01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6FA19699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1687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251B4ECA" w14:textId="77777777">
            <w:r>
              <w:rPr>
                <w:rFonts w:ascii="Calibri" w:hAnsi="Calibri"/>
                <w:b/>
                <w:color w:val="FF3333"/>
              </w:rPr>
              <w:t>Tratamento:</w:t>
            </w:r>
          </w:p>
        </w:tc>
        <w:tc>
          <w:tcPr>
            <w:tcW w:w="7063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23AA61BE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Mitigar.</w:t>
            </w:r>
          </w:p>
        </w:tc>
      </w:tr>
      <w:tr w:rsidR="008E374F" w14:paraId="7840A2A6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4239200E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4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248F98FF" w14:textId="77777777">
            <w:pPr>
              <w:ind w:left="42"/>
            </w:pPr>
            <w:r>
              <w:rPr>
                <w:rFonts w:ascii="Calibri" w:hAnsi="Calibri"/>
                <w:b/>
                <w:color w:val="FF3333"/>
              </w:rPr>
              <w:t>Id</w:t>
            </w:r>
          </w:p>
        </w:tc>
        <w:tc>
          <w:tcPr>
            <w:tcW w:w="67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33ED354C" w14:textId="77777777">
            <w:pPr>
              <w:ind w:left="3"/>
              <w:jc w:val="center"/>
            </w:pPr>
            <w:r>
              <w:rPr>
                <w:rFonts w:ascii="Calibri" w:hAnsi="Calibri"/>
                <w:b/>
                <w:color w:val="FF3333"/>
              </w:rPr>
              <w:t>Ação Preventiva</w:t>
            </w:r>
          </w:p>
        </w:tc>
        <w:tc>
          <w:tcPr>
            <w:tcW w:w="1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2E22631A" w14:textId="77777777">
            <w:pPr>
              <w:ind w:left="148"/>
            </w:pPr>
            <w:r>
              <w:rPr>
                <w:rFonts w:ascii="Calibri" w:hAnsi="Calibri"/>
                <w:b/>
                <w:color w:val="FF3333"/>
              </w:rPr>
              <w:t>Responsável</w:t>
            </w:r>
          </w:p>
        </w:tc>
      </w:tr>
      <w:tr w:rsidR="008E374F" w14:paraId="0D17D91A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8E374F" w14:paraId="62ACC213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4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189E31D7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</w:t>
            </w:r>
          </w:p>
        </w:tc>
        <w:tc>
          <w:tcPr>
            <w:tcW w:w="67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</w:tcPr>
          <w:p w:rsidR="008E374F" w:rsidRDefault="009334CA" w14:paraId="07EABDE8" w14:textId="77777777">
            <w:pPr>
              <w:ind w:right="2"/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Providenciar capacitação em métricas de software para servidores do órgão/entidade que atuam como fiscais de contrato.</w:t>
            </w:r>
          </w:p>
        </w:tc>
        <w:tc>
          <w:tcPr>
            <w:tcW w:w="1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2" w:type="dxa"/>
            </w:tcMar>
            <w:vAlign w:val="center"/>
          </w:tcPr>
          <w:p w:rsidR="008E374F" w:rsidRDefault="009334CA" w14:paraId="5384149E" w14:textId="77777777">
            <w:pPr>
              <w:ind w:left="8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Chefia da CGTI</w:t>
            </w:r>
          </w:p>
        </w:tc>
      </w:tr>
      <w:tr w:rsidR="008E374F" w14:paraId="6CF74DDA" w14:textId="77777777">
        <w:tc>
          <w:tcPr>
            <w:tcW w:w="73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8E374F" w14:paraId="66F07CE8" w14:textId="77777777">
            <w:pPr>
              <w:pStyle w:val="Standard"/>
              <w:rPr>
                <w:rFonts w:ascii="Calibri" w:hAnsi="Calibri"/>
                <w:color w:val="FF3333"/>
              </w:rPr>
            </w:pPr>
          </w:p>
        </w:tc>
        <w:tc>
          <w:tcPr>
            <w:tcW w:w="4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32F4AE8B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2</w:t>
            </w:r>
          </w:p>
        </w:tc>
        <w:tc>
          <w:tcPr>
            <w:tcW w:w="67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6FD8D14D" w14:textId="77777777">
            <w:pPr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Priorizar as demandas de software a serem desenvolvidas.</w:t>
            </w:r>
          </w:p>
          <w:p w:rsidR="008E374F" w:rsidRDefault="009334CA" w14:paraId="6BE269C3" w14:textId="77777777">
            <w:pPr>
              <w:ind w:right="4"/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(Referência: Portaria STI/MP nº 20/2016, item 19.1 – O Comitê de Governança Digital é responsável pela validação e priorização de cada software a ser desenvolvido e deve deliberar e decidir sobre sua viabilidade e desenvolvimento antes de sua contratação ou antes que a demanda seja enviada à empresa contratada por meio de OS).</w:t>
            </w:r>
          </w:p>
        </w:tc>
        <w:tc>
          <w:tcPr>
            <w:tcW w:w="1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6800422B" w14:textId="77777777">
            <w:pPr>
              <w:ind w:left="4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Comitê de Governança Digital (CGD)</w:t>
            </w:r>
          </w:p>
        </w:tc>
      </w:tr>
      <w:tr w:rsidR="008E374F" w14:paraId="34D3D12D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8E374F" w14:paraId="6672830D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4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521A886D" w14:textId="77777777">
            <w:pPr>
              <w:ind w:left="42"/>
            </w:pPr>
            <w:r>
              <w:rPr>
                <w:rFonts w:ascii="Calibri" w:hAnsi="Calibri"/>
                <w:b/>
                <w:color w:val="FF3333"/>
              </w:rPr>
              <w:t>Id</w:t>
            </w:r>
          </w:p>
        </w:tc>
        <w:tc>
          <w:tcPr>
            <w:tcW w:w="67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5EF09D5B" w14:textId="77777777">
            <w:pPr>
              <w:ind w:left="1"/>
              <w:jc w:val="center"/>
            </w:pPr>
            <w:r>
              <w:rPr>
                <w:rFonts w:ascii="Calibri" w:hAnsi="Calibri"/>
                <w:b/>
                <w:color w:val="FF3333"/>
              </w:rPr>
              <w:t>Ação de Contingência</w:t>
            </w:r>
          </w:p>
        </w:tc>
        <w:tc>
          <w:tcPr>
            <w:tcW w:w="1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4FD18B24" w14:textId="77777777">
            <w:pPr>
              <w:ind w:left="148"/>
            </w:pPr>
            <w:r>
              <w:rPr>
                <w:rFonts w:ascii="Calibri" w:hAnsi="Calibri"/>
                <w:b/>
                <w:color w:val="FF3333"/>
              </w:rPr>
              <w:t>Responsável</w:t>
            </w:r>
          </w:p>
        </w:tc>
      </w:tr>
      <w:tr w:rsidR="008E374F" w14:paraId="343E8685" w14:textId="77777777">
        <w:tc>
          <w:tcPr>
            <w:tcW w:w="738" w:type="dxa"/>
            <w:vMerge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8E374F" w14:paraId="3D0C70CF" w14:textId="77777777">
            <w:pPr>
              <w:widowControl/>
              <w:suppressAutoHyphens w:val="0"/>
              <w:spacing w:after="200" w:line="276" w:lineRule="auto"/>
              <w:rPr>
                <w:rFonts w:ascii="Calibri" w:hAnsi="Calibri" w:eastAsia="Calibri" w:cs="Times New Roman"/>
                <w:kern w:val="0"/>
                <w:lang w:eastAsia="en-US" w:bidi="ar-SA"/>
              </w:rPr>
            </w:pPr>
          </w:p>
        </w:tc>
        <w:tc>
          <w:tcPr>
            <w:tcW w:w="4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2150774A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</w:t>
            </w:r>
          </w:p>
        </w:tc>
        <w:tc>
          <w:tcPr>
            <w:tcW w:w="67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26FD0D4E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Redução da emissão de Ordens de Serviço.</w:t>
            </w:r>
          </w:p>
        </w:tc>
        <w:tc>
          <w:tcPr>
            <w:tcW w:w="1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54F41E62" w14:textId="77777777">
            <w:pPr>
              <w:ind w:left="204" w:right="34" w:hanging="60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Comitê de Governança Digital e CGTI</w:t>
            </w:r>
          </w:p>
        </w:tc>
      </w:tr>
      <w:tr w:rsidR="008E374F" w14:paraId="0723E9DB" w14:textId="77777777">
        <w:tc>
          <w:tcPr>
            <w:tcW w:w="7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8E374F" w14:paraId="5DBB6BE4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4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7A26DFEB" w14:textId="77777777">
            <w:pPr>
              <w:ind w:left="94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2</w:t>
            </w:r>
          </w:p>
        </w:tc>
        <w:tc>
          <w:tcPr>
            <w:tcW w:w="67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</w:tcPr>
          <w:p w:rsidR="008E374F" w:rsidRDefault="009334CA" w14:paraId="40692F42" w14:textId="77777777">
            <w:pPr>
              <w:jc w:val="both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Implantação de controles internos, como a realização de estudo da capacidade de execução de demandas de fábrica de software pela área de TI, a fim de compatibilizar as demandas de serviços à fábrica de software com a força de trabalho disponível para gerenciar e validar adequadamente os serviços entregues.</w:t>
            </w:r>
          </w:p>
        </w:tc>
        <w:tc>
          <w:tcPr>
            <w:tcW w:w="16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78" w:type="dxa"/>
              <w:left w:w="72" w:type="dxa"/>
              <w:bottom w:w="0" w:type="dxa"/>
              <w:right w:w="70" w:type="dxa"/>
            </w:tcMar>
            <w:vAlign w:val="center"/>
          </w:tcPr>
          <w:p w:rsidR="008E374F" w:rsidRDefault="009334CA" w14:paraId="1E46DE9B" w14:textId="77777777">
            <w:pPr>
              <w:ind w:left="204" w:right="34" w:hanging="60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Comitê de Governança Digital e Chefia da</w:t>
            </w:r>
          </w:p>
          <w:p w:rsidR="008E374F" w:rsidRDefault="009334CA" w14:paraId="1FD69BCE" w14:textId="77777777">
            <w:pPr>
              <w:ind w:left="2"/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CGTI</w:t>
            </w:r>
          </w:p>
        </w:tc>
      </w:tr>
    </w:tbl>
    <w:p w:rsidR="008E374F" w:rsidRDefault="008E374F" w14:paraId="07CF3CFF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3333"/>
        </w:rPr>
      </w:pPr>
    </w:p>
    <w:p w:rsidR="008E374F" w:rsidRDefault="009334CA" w14:paraId="3463AC39" w14:textId="512A0B42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3333"/>
        </w:rPr>
      </w:pPr>
      <w:r w:rsidRPr="2FC48CA0">
        <w:rPr>
          <w:rFonts w:ascii="Calibri" w:hAnsi="Calibri"/>
          <w:color w:val="FF3333"/>
        </w:rPr>
        <w:t>&lt;Inclusão de outros riscos e sua</w:t>
      </w:r>
      <w:r w:rsidRPr="2FC48CA0" w:rsidR="28E4E1BF">
        <w:rPr>
          <w:rFonts w:ascii="Calibri" w:hAnsi="Calibri"/>
          <w:color w:val="FF3333"/>
        </w:rPr>
        <w:t>s</w:t>
      </w:r>
      <w:r w:rsidRPr="2FC48CA0">
        <w:rPr>
          <w:rFonts w:ascii="Calibri" w:hAnsi="Calibri"/>
          <w:color w:val="FF3333"/>
        </w:rPr>
        <w:t xml:space="preserve"> análise</w:t>
      </w:r>
      <w:r w:rsidRPr="2FC48CA0" w:rsidR="08251927">
        <w:rPr>
          <w:rFonts w:ascii="Calibri" w:hAnsi="Calibri"/>
          <w:color w:val="FF3333"/>
        </w:rPr>
        <w:t>s</w:t>
      </w:r>
      <w:r w:rsidRPr="2FC48CA0">
        <w:rPr>
          <w:rFonts w:ascii="Calibri" w:hAnsi="Calibri"/>
          <w:color w:val="FF3333"/>
        </w:rPr>
        <w:t>&gt;.</w:t>
      </w:r>
    </w:p>
    <w:p w:rsidR="008E374F" w:rsidRDefault="008E374F" w14:paraId="6ED2D947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FF3333"/>
        </w:rPr>
      </w:pPr>
    </w:p>
    <w:p w:rsidR="008E374F" w:rsidRDefault="008E374F" w14:paraId="29E65914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  <w:color w:val="0000FF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8E374F" w14:paraId="23357A8A" w14:textId="77777777">
        <w:tc>
          <w:tcPr>
            <w:tcW w:w="9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04F4177B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ACOMPANHAMENTO DAS AÇÕES DE TRATAMENTO DE RISCOS</w:t>
            </w:r>
          </w:p>
        </w:tc>
      </w:tr>
    </w:tbl>
    <w:p w:rsidR="008E374F" w:rsidRDefault="008E374F" w14:paraId="55AAC417" w14:textId="77777777">
      <w:pPr>
        <w:pStyle w:val="Standard"/>
        <w:tabs>
          <w:tab w:val="left" w:pos="569"/>
          <w:tab w:val="left" w:pos="854"/>
          <w:tab w:val="left" w:pos="1154"/>
          <w:tab w:val="left" w:pos="1409"/>
          <w:tab w:val="left" w:pos="1664"/>
          <w:tab w:val="left" w:pos="1979"/>
          <w:tab w:val="left" w:pos="2234"/>
          <w:tab w:val="left" w:leader="underscore" w:pos="7350"/>
        </w:tabs>
        <w:spacing w:before="57" w:after="57"/>
        <w:ind w:left="14"/>
        <w:jc w:val="both"/>
        <w:rPr>
          <w:rFonts w:ascii="Calibri" w:hAnsi="Calibri"/>
          <w:color w:val="FF3333"/>
        </w:rPr>
      </w:pPr>
    </w:p>
    <w:p w:rsidR="008E374F" w:rsidRDefault="009334CA" w14:paraId="13319CE5" w14:textId="77777777">
      <w:pPr>
        <w:pStyle w:val="Standard"/>
        <w:tabs>
          <w:tab w:val="left" w:pos="569"/>
          <w:tab w:val="left" w:pos="854"/>
          <w:tab w:val="left" w:pos="1154"/>
          <w:tab w:val="left" w:pos="1409"/>
          <w:tab w:val="left" w:pos="1664"/>
          <w:tab w:val="left" w:pos="1979"/>
          <w:tab w:val="left" w:pos="2234"/>
          <w:tab w:val="left" w:leader="underscore" w:pos="7350"/>
        </w:tabs>
        <w:spacing w:before="57" w:after="57"/>
        <w:ind w:left="14"/>
        <w:jc w:val="both"/>
        <w:rPr>
          <w:rFonts w:ascii="Calibri" w:hAnsi="Calibri"/>
          <w:color w:val="FF3333"/>
        </w:rPr>
      </w:pPr>
      <w:r>
        <w:rPr>
          <w:rFonts w:ascii="Calibri" w:hAnsi="Calibri"/>
          <w:color w:val="FF3333"/>
        </w:rPr>
        <w:t>&lt;Espaço para registro e acompanhamento das ações de tratamento dos riscos, que poderá conter eventos relevantes relacionados ao gerenciamento de riscos, conforme exemplo abaixo&gt;.</w:t>
      </w:r>
    </w:p>
    <w:p w:rsidR="008E374F" w:rsidRDefault="008E374F" w14:paraId="715CBE4D" w14:textId="77777777">
      <w:pPr>
        <w:pStyle w:val="Standard"/>
        <w:tabs>
          <w:tab w:val="left" w:pos="569"/>
          <w:tab w:val="left" w:pos="854"/>
          <w:tab w:val="left" w:pos="1154"/>
          <w:tab w:val="left" w:pos="1409"/>
          <w:tab w:val="left" w:pos="1664"/>
          <w:tab w:val="left" w:pos="1979"/>
          <w:tab w:val="left" w:pos="2234"/>
          <w:tab w:val="left" w:leader="underscore" w:pos="7350"/>
        </w:tabs>
        <w:spacing w:before="57" w:after="57"/>
        <w:ind w:left="14"/>
        <w:jc w:val="both"/>
        <w:rPr>
          <w:rFonts w:ascii="Calibri" w:hAnsi="Calibri"/>
          <w:color w:val="FF3333"/>
        </w:rPr>
      </w:pPr>
    </w:p>
    <w:tbl>
      <w:tblPr>
        <w:tblW w:w="9363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2"/>
        <w:gridCol w:w="656"/>
        <w:gridCol w:w="987"/>
        <w:gridCol w:w="6288"/>
      </w:tblGrid>
      <w:tr w:rsidR="008E374F" w14:paraId="59D6A85C" w14:textId="77777777">
        <w:trPr>
          <w:trHeight w:val="363"/>
        </w:trPr>
        <w:tc>
          <w:tcPr>
            <w:tcW w:w="143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0DFD8A42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6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52ADCA3C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Id. Risco</w:t>
            </w:r>
          </w:p>
        </w:tc>
        <w:tc>
          <w:tcPr>
            <w:tcW w:w="9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70344BD7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Id. Ação</w:t>
            </w:r>
          </w:p>
        </w:tc>
        <w:tc>
          <w:tcPr>
            <w:tcW w:w="6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214E7476" w14:textId="7777777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Registro e acompanhamento das ações de tratamento dos riscos</w:t>
            </w:r>
          </w:p>
        </w:tc>
      </w:tr>
      <w:tr w:rsidR="008E374F" w14:paraId="20C99C00" w14:textId="77777777">
        <w:trPr>
          <w:trHeight w:val="357"/>
        </w:trPr>
        <w:tc>
          <w:tcPr>
            <w:tcW w:w="143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1B05B4EE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DD/MM/AAAA</w:t>
            </w:r>
          </w:p>
        </w:tc>
        <w:tc>
          <w:tcPr>
            <w:tcW w:w="65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4FACA54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R17</w:t>
            </w:r>
          </w:p>
        </w:tc>
        <w:tc>
          <w:tcPr>
            <w:tcW w:w="9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6430D75F" w14:textId="77777777">
            <w:pPr>
              <w:pStyle w:val="TableContents"/>
              <w:jc w:val="center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P2</w:t>
            </w:r>
          </w:p>
        </w:tc>
        <w:tc>
          <w:tcPr>
            <w:tcW w:w="628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9334CA" w14:paraId="40C35611" w14:textId="77777777">
            <w:pPr>
              <w:pStyle w:val="TableContents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  <w:r>
              <w:rPr>
                <w:rFonts w:ascii="Calibri" w:hAnsi="Calibri"/>
                <w:color w:val="FF3333"/>
                <w:sz w:val="20"/>
                <w:szCs w:val="20"/>
              </w:rPr>
              <w:t>O Comitê de Governança Digital se reuniu em DD/MM/AAAA e deliberou quanto à lista dos sistemas prioritários a terem suas demandas executadas pela empresa de desenvolvimento de software.</w:t>
            </w:r>
          </w:p>
        </w:tc>
      </w:tr>
      <w:tr w:rsidR="008E374F" w14:paraId="65029980" w14:textId="77777777">
        <w:trPr>
          <w:trHeight w:val="357"/>
        </w:trPr>
        <w:tc>
          <w:tcPr>
            <w:tcW w:w="143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71726CF6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</w:p>
        </w:tc>
        <w:tc>
          <w:tcPr>
            <w:tcW w:w="65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4DCB05B7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00A70A23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28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233C8D39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E374F" w14:paraId="5FDB7DB4" w14:textId="77777777">
        <w:trPr>
          <w:trHeight w:val="357"/>
        </w:trPr>
        <w:tc>
          <w:tcPr>
            <w:tcW w:w="143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2FC7A805" w14:textId="77777777">
            <w:pPr>
              <w:pStyle w:val="Standard"/>
              <w:jc w:val="both"/>
              <w:rPr>
                <w:rFonts w:ascii="Calibri" w:hAnsi="Calibri"/>
                <w:color w:val="FF3333"/>
                <w:sz w:val="20"/>
                <w:szCs w:val="20"/>
              </w:rPr>
            </w:pPr>
          </w:p>
        </w:tc>
        <w:tc>
          <w:tcPr>
            <w:tcW w:w="65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198581D0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31D1D2AB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28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598BB63F" w14:textId="77777777">
            <w:pPr>
              <w:pStyle w:val="TableContents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8E374F" w:rsidRDefault="008E374F" w14:paraId="02725509" w14:textId="77777777">
      <w:pPr>
        <w:pStyle w:val="Standard"/>
        <w:tabs>
          <w:tab w:val="left" w:pos="569"/>
          <w:tab w:val="left" w:pos="854"/>
          <w:tab w:val="left" w:pos="1154"/>
          <w:tab w:val="left" w:pos="1409"/>
          <w:tab w:val="left" w:pos="1664"/>
          <w:tab w:val="left" w:pos="1979"/>
          <w:tab w:val="left" w:pos="2234"/>
          <w:tab w:val="left" w:leader="underscore" w:pos="7350"/>
        </w:tabs>
        <w:spacing w:before="57" w:after="57"/>
        <w:ind w:left="14"/>
        <w:jc w:val="both"/>
        <w:rPr>
          <w:rFonts w:ascii="Calibri" w:hAnsi="Calibri"/>
          <w:color w:val="0000FF"/>
        </w:rPr>
      </w:pPr>
    </w:p>
    <w:p w:rsidR="008E374F" w:rsidRDefault="008E374F" w14:paraId="7734EA4C" w14:textId="77777777">
      <w:pPr>
        <w:pStyle w:val="Standard"/>
        <w:tabs>
          <w:tab w:val="left" w:pos="569"/>
          <w:tab w:val="left" w:pos="854"/>
          <w:tab w:val="left" w:pos="1154"/>
          <w:tab w:val="left" w:pos="1409"/>
          <w:tab w:val="left" w:pos="1664"/>
          <w:tab w:val="left" w:pos="1979"/>
          <w:tab w:val="left" w:pos="2234"/>
          <w:tab w:val="left" w:leader="underscore" w:pos="7350"/>
        </w:tabs>
        <w:spacing w:before="57" w:after="57"/>
        <w:ind w:left="14"/>
        <w:jc w:val="both"/>
        <w:rPr>
          <w:rFonts w:ascii="Calibri" w:hAnsi="Calibri"/>
          <w:color w:val="0000FF"/>
        </w:rPr>
      </w:pPr>
    </w:p>
    <w:p w:rsidR="008E374F" w:rsidRDefault="008E374F" w14:paraId="440D5003" w14:textId="77777777">
      <w:pPr>
        <w:pStyle w:val="Standard"/>
        <w:tabs>
          <w:tab w:val="left" w:pos="569"/>
          <w:tab w:val="left" w:pos="854"/>
          <w:tab w:val="left" w:pos="1154"/>
          <w:tab w:val="left" w:pos="1409"/>
          <w:tab w:val="left" w:pos="1664"/>
          <w:tab w:val="left" w:pos="1979"/>
          <w:tab w:val="left" w:pos="2234"/>
          <w:tab w:val="left" w:leader="underscore" w:pos="7350"/>
        </w:tabs>
        <w:spacing w:before="57" w:after="57"/>
        <w:ind w:left="14"/>
        <w:jc w:val="both"/>
        <w:rPr>
          <w:rFonts w:ascii="Calibri" w:hAnsi="Calibri"/>
          <w:color w:val="0000FF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8E374F" w14:paraId="581F072B" w14:textId="77777777">
        <w:tc>
          <w:tcPr>
            <w:tcW w:w="935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374F" w:rsidRDefault="009334CA" w14:paraId="4DC34AF2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 – APROVAÇÃO E ASSINATURA</w:t>
            </w:r>
          </w:p>
        </w:tc>
      </w:tr>
    </w:tbl>
    <w:p w:rsidR="008E374F" w:rsidRDefault="008E374F" w14:paraId="3962F3FC" w14:textId="77777777">
      <w:pPr>
        <w:pStyle w:val="Textbody"/>
        <w:spacing w:after="0"/>
        <w:jc w:val="both"/>
        <w:rPr>
          <w:rFonts w:ascii="Calibri" w:hAnsi="Calibri"/>
        </w:rPr>
      </w:pPr>
    </w:p>
    <w:p w:rsidR="008E374F" w:rsidRDefault="009334CA" w14:paraId="2436CB96" w14:textId="77777777">
      <w:pPr>
        <w:pStyle w:val="Textbody"/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>Conforme § 5º do art. 38 da IN SGD/ME nº 94, de 2022, o Mapa de Gerenciamento de Riscos deve ser assinado pela Equipe de Planejamento da Contratação, nas fases de Planejamento da Contratação e de Seleção de Fornecedores, e pela Equipe de Fiscalização e Gestor do Contrato, na fase de Gestão do Contrato.</w:t>
      </w:r>
    </w:p>
    <w:p w:rsidR="008E374F" w:rsidRDefault="008E374F" w14:paraId="652D0671" w14:textId="77777777">
      <w:pPr>
        <w:pStyle w:val="Textbody"/>
        <w:spacing w:after="0"/>
        <w:jc w:val="both"/>
        <w:rPr>
          <w:rFonts w:ascii="Calibri" w:hAnsi="Calibri"/>
        </w:rPr>
      </w:pPr>
    </w:p>
    <w:p w:rsidR="008E374F" w:rsidRDefault="009334CA" w14:paraId="0B5D0BCC" w14:textId="77777777">
      <w:pPr>
        <w:pStyle w:val="Textbody"/>
        <w:jc w:val="both"/>
        <w:rPr>
          <w:rFonts w:ascii="Calibri" w:hAnsi="Calibri"/>
          <w:color w:val="FF3333"/>
        </w:rPr>
      </w:pPr>
      <w:r>
        <w:rPr>
          <w:rFonts w:ascii="Calibri" w:hAnsi="Calibri"/>
          <w:color w:val="FF3333"/>
        </w:rPr>
        <w:t>&lt;Para as fases de Planejamento da Contratação e de Seleção de Fornecedores:</w:t>
      </w:r>
    </w:p>
    <w:p w:rsidR="008E374F" w:rsidRDefault="009334CA" w14:paraId="0B9A566C" w14:textId="77777777">
      <w:pPr>
        <w:pStyle w:val="Textbody"/>
        <w:ind w:left="1008"/>
        <w:jc w:val="both"/>
        <w:rPr>
          <w:rFonts w:ascii="Calibri" w:hAnsi="Calibri"/>
          <w:color w:val="FF3333"/>
        </w:rPr>
      </w:pPr>
      <w:r>
        <w:rPr>
          <w:rFonts w:ascii="Calibri" w:hAnsi="Calibri"/>
          <w:color w:val="FF3333"/>
        </w:rPr>
        <w:t>A Equipe de Planejamento da Contratação foi instituída pela Portaria nº XXX, de &lt;dia&gt; de &lt;mês&gt; de &lt;ano&gt; (ou outro instrumento equivalente de formalização)&gt;.</w:t>
      </w:r>
    </w:p>
    <w:tbl>
      <w:tblPr>
        <w:tblW w:w="9363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0"/>
        <w:gridCol w:w="2963"/>
        <w:gridCol w:w="3150"/>
      </w:tblGrid>
      <w:tr w:rsidR="008E374F" w14:paraId="6A5B6641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3AF22163" w14:textId="77777777">
            <w:pPr>
              <w:pStyle w:val="TableContents"/>
              <w:jc w:val="center"/>
              <w:rPr>
                <w:rFonts w:ascii="Calibri" w:hAnsi="Calibri"/>
                <w:b/>
                <w:sz w:val="12"/>
                <w:szCs w:val="12"/>
              </w:rPr>
            </w:pPr>
          </w:p>
          <w:p w:rsidR="008E374F" w:rsidRDefault="009334CA" w14:paraId="75F7969F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365A52CA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Integrante</w:t>
            </w:r>
          </w:p>
          <w:p w:rsidR="008E374F" w:rsidRDefault="009334CA" w14:paraId="4226E121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Requisitante</w:t>
            </w:r>
          </w:p>
          <w:p w:rsidR="008E374F" w:rsidRDefault="009334CA" w14:paraId="68978F58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19631370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08ED7BD1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19B3C962" w14:textId="77777777">
            <w:pPr>
              <w:pStyle w:val="TableContents"/>
              <w:jc w:val="center"/>
              <w:rPr>
                <w:rFonts w:ascii="Calibri" w:hAnsi="Calibri"/>
                <w:b/>
                <w:sz w:val="12"/>
                <w:szCs w:val="12"/>
              </w:rPr>
            </w:pPr>
          </w:p>
          <w:p w:rsidR="008E374F" w:rsidRDefault="009334CA" w14:paraId="214180E1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68FA0E21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Integrante</w:t>
            </w:r>
          </w:p>
          <w:p w:rsidR="008E374F" w:rsidRDefault="009334CA" w14:paraId="5BFCF263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Técnico</w:t>
            </w:r>
          </w:p>
          <w:p w:rsidR="008E374F" w:rsidRDefault="009334CA" w14:paraId="11EB971C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1610CA2B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1D28818E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i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35FEE553" w14:textId="77777777">
            <w:pPr>
              <w:pStyle w:val="TableContents"/>
              <w:jc w:val="center"/>
              <w:rPr>
                <w:rFonts w:ascii="Calibri" w:hAnsi="Calibri"/>
                <w:b/>
                <w:sz w:val="12"/>
                <w:szCs w:val="12"/>
              </w:rPr>
            </w:pPr>
          </w:p>
          <w:p w:rsidR="008E374F" w:rsidRDefault="009334CA" w14:paraId="0EB07899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230F3816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Integrante</w:t>
            </w:r>
          </w:p>
          <w:p w:rsidR="008E374F" w:rsidRDefault="009334CA" w14:paraId="19E767CE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Administrativo</w:t>
            </w:r>
          </w:p>
          <w:p w:rsidR="008E374F" w:rsidRDefault="009334CA" w14:paraId="5D860C12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7A89FE41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1AEBFD26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i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</w:tr>
    </w:tbl>
    <w:p w:rsidR="008E374F" w:rsidRDefault="009334CA" w14:paraId="4F6EC871" w14:textId="77777777">
      <w:pPr>
        <w:pStyle w:val="TableContents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right"/>
      </w:pPr>
      <w:r>
        <w:rPr>
          <w:rFonts w:ascii="Calibri" w:hAnsi="Calibri"/>
          <w:color w:val="FF3333"/>
        </w:rPr>
        <w:t>&lt;Local&gt;</w:t>
      </w:r>
      <w:r>
        <w:rPr>
          <w:rFonts w:ascii="Calibri" w:hAnsi="Calibri"/>
        </w:rPr>
        <w:t>,</w:t>
      </w:r>
      <w:r>
        <w:rPr>
          <w:rFonts w:ascii="Calibri" w:hAnsi="Calibri"/>
          <w:color w:val="FF3333"/>
        </w:rPr>
        <w:t xml:space="preserve"> &lt;dia&gt; </w:t>
      </w:r>
      <w:r>
        <w:rPr>
          <w:rFonts w:ascii="Calibri" w:hAnsi="Calibri"/>
        </w:rPr>
        <w:t>de</w:t>
      </w:r>
      <w:r>
        <w:rPr>
          <w:rFonts w:ascii="Calibri" w:hAnsi="Calibri"/>
          <w:color w:val="FF3333"/>
        </w:rPr>
        <w:t xml:space="preserve"> &lt;mês&gt; </w:t>
      </w:r>
      <w:r>
        <w:rPr>
          <w:rFonts w:ascii="Calibri" w:hAnsi="Calibri"/>
        </w:rPr>
        <w:t>de</w:t>
      </w:r>
      <w:r>
        <w:rPr>
          <w:rFonts w:ascii="Calibri" w:hAnsi="Calibri"/>
          <w:color w:val="FF3333"/>
        </w:rPr>
        <w:t xml:space="preserve"> &lt;ano&gt;</w:t>
      </w:r>
    </w:p>
    <w:p w:rsidR="008E374F" w:rsidRDefault="008E374F" w14:paraId="680C886A" w14:textId="77777777">
      <w:pPr>
        <w:pStyle w:val="TableContents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right"/>
        <w:rPr>
          <w:rFonts w:ascii="Calibri" w:hAnsi="Calibri"/>
          <w:color w:val="FF3333"/>
        </w:rPr>
      </w:pPr>
    </w:p>
    <w:p w:rsidR="008E374F" w:rsidRDefault="009334CA" w14:paraId="43DA43E4" w14:textId="77777777">
      <w:pPr>
        <w:pStyle w:val="TableContents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  <w:rPr>
          <w:rFonts w:ascii="Calibri" w:hAnsi="Calibri"/>
          <w:color w:val="FF3333"/>
        </w:rPr>
      </w:pPr>
      <w:r>
        <w:rPr>
          <w:rFonts w:ascii="Calibri" w:hAnsi="Calibri"/>
          <w:color w:val="FF3333"/>
        </w:rPr>
        <w:t>&lt;Para a fase de Gestão do Contratos:</w:t>
      </w:r>
    </w:p>
    <w:p w:rsidR="008E374F" w:rsidRDefault="009334CA" w14:paraId="276B658F" w14:textId="77777777">
      <w:pPr>
        <w:pStyle w:val="Textbody"/>
        <w:ind w:left="1008"/>
        <w:jc w:val="both"/>
        <w:rPr>
          <w:rFonts w:ascii="Calibri" w:hAnsi="Calibri"/>
          <w:color w:val="FF3333"/>
        </w:rPr>
      </w:pPr>
      <w:r>
        <w:rPr>
          <w:rFonts w:ascii="Calibri" w:hAnsi="Calibri"/>
          <w:color w:val="FF3333"/>
        </w:rPr>
        <w:t>A Equipe de Fiscalização do Contrato foi instituída pela Portaria nº XXX, de &lt;dia&gt; de &lt;mês&gt; de &lt;ano&gt; (ou outro instrumento equivalente de formalização)&gt;.</w:t>
      </w:r>
    </w:p>
    <w:p w:rsidR="008E374F" w:rsidRDefault="008E374F" w14:paraId="5E23EFB8" w14:textId="77777777">
      <w:pPr>
        <w:pStyle w:val="Textbody"/>
        <w:jc w:val="both"/>
        <w:rPr>
          <w:rFonts w:ascii="Calibri" w:hAnsi="Calibri"/>
        </w:rPr>
      </w:pPr>
    </w:p>
    <w:tbl>
      <w:tblPr>
        <w:tblW w:w="9363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0"/>
        <w:gridCol w:w="2963"/>
        <w:gridCol w:w="3150"/>
      </w:tblGrid>
      <w:tr w:rsidR="008E374F" w14:paraId="5A684860" w14:textId="77777777">
        <w:tc>
          <w:tcPr>
            <w:tcW w:w="3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23B05EB5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</w:p>
          <w:p w:rsidR="008E374F" w:rsidRDefault="009334CA" w14:paraId="402DF8B5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3EAAFF03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Fiscal</w:t>
            </w:r>
          </w:p>
          <w:p w:rsidR="008E374F" w:rsidRDefault="009334CA" w14:paraId="4105E5F7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Requisitante</w:t>
            </w:r>
          </w:p>
          <w:p w:rsidR="008E374F" w:rsidRDefault="009334CA" w14:paraId="1A540056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239DA149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71413047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  <w:tc>
          <w:tcPr>
            <w:tcW w:w="29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6CE60DEC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</w:p>
          <w:p w:rsidR="008E374F" w:rsidRDefault="009334CA" w14:paraId="50B119EF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353CC1C3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Fiscal</w:t>
            </w:r>
          </w:p>
          <w:p w:rsidR="008E374F" w:rsidRDefault="009334CA" w14:paraId="76E22ACE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Técnico</w:t>
            </w:r>
          </w:p>
          <w:p w:rsidR="008E374F" w:rsidRDefault="009334CA" w14:paraId="5D91204A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23908FAD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7BE49CB0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i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  <w:tc>
          <w:tcPr>
            <w:tcW w:w="3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E374F" w:rsidRDefault="008E374F" w14:paraId="0C5BF8A9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</w:p>
          <w:p w:rsidR="008E374F" w:rsidRDefault="009334CA" w14:paraId="3F5F3473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426BFD70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Fiscal</w:t>
            </w:r>
          </w:p>
          <w:p w:rsidR="008E374F" w:rsidRDefault="009334CA" w14:paraId="43E68D7A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Administrativo</w:t>
            </w:r>
          </w:p>
          <w:p w:rsidR="008E374F" w:rsidRDefault="009334CA" w14:paraId="7ECE4859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4ABA8607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70B49295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i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</w:tr>
    </w:tbl>
    <w:p w:rsidR="008E374F" w:rsidRDefault="008E374F" w14:paraId="6DAD7A97" w14:textId="77777777">
      <w:pPr>
        <w:pStyle w:val="TableContents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right"/>
      </w:pPr>
    </w:p>
    <w:tbl>
      <w:tblPr>
        <w:tblW w:w="9388" w:type="dxa"/>
        <w:tblInd w:w="-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8"/>
      </w:tblGrid>
      <w:tr w:rsidR="008E374F" w14:paraId="3B0A0CED" w14:textId="77777777">
        <w:tc>
          <w:tcPr>
            <w:tcW w:w="93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:rsidR="008E374F" w:rsidRDefault="008E374F" w14:paraId="3344EC64" w14:textId="77777777">
            <w:pPr>
              <w:pStyle w:val="TableContents"/>
              <w:jc w:val="center"/>
              <w:rPr>
                <w:rFonts w:ascii="Calibri" w:hAnsi="Calibri"/>
              </w:rPr>
            </w:pPr>
          </w:p>
          <w:p w:rsidR="008E374F" w:rsidRDefault="009334CA" w14:paraId="762D83C7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____________________</w:t>
            </w:r>
          </w:p>
          <w:p w:rsidR="008E374F" w:rsidRDefault="009334CA" w14:paraId="4B256620" w14:textId="77777777">
            <w:pPr>
              <w:pStyle w:val="TableContents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Gestor do Contrato</w:t>
            </w:r>
          </w:p>
          <w:p w:rsidR="008E374F" w:rsidRDefault="009334CA" w14:paraId="74CBA4C6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&lt;Nome&gt;</w:t>
            </w:r>
          </w:p>
          <w:p w:rsidR="008E374F" w:rsidRDefault="009334CA" w14:paraId="437D4740" w14:textId="77777777">
            <w:pPr>
              <w:pStyle w:val="TableContents"/>
              <w:jc w:val="center"/>
              <w:rPr>
                <w:rFonts w:ascii="Calibri" w:hAnsi="Calibri"/>
                <w:i/>
                <w:color w:val="FF3333"/>
                <w:sz w:val="22"/>
              </w:rPr>
            </w:pPr>
            <w:r>
              <w:rPr>
                <w:rFonts w:ascii="Calibri" w:hAnsi="Calibri"/>
                <w:i/>
                <w:color w:val="FF3333"/>
                <w:sz w:val="22"/>
              </w:rPr>
              <w:t>&lt;Cargo&gt;</w:t>
            </w:r>
          </w:p>
          <w:p w:rsidR="008E374F" w:rsidRDefault="009334CA" w14:paraId="38233DE3" w14:textId="77777777">
            <w:pPr>
              <w:pStyle w:val="TableContents"/>
              <w:jc w:val="center"/>
            </w:pPr>
            <w:r>
              <w:rPr>
                <w:rFonts w:ascii="Calibri" w:hAnsi="Calibri"/>
                <w:b/>
                <w:i/>
                <w:color w:val="FF3333"/>
                <w:sz w:val="22"/>
              </w:rPr>
              <w:t xml:space="preserve"> </w:t>
            </w:r>
            <w:r>
              <w:rPr>
                <w:rFonts w:ascii="Calibri" w:hAnsi="Calibri"/>
                <w:i/>
                <w:color w:val="FF3333"/>
                <w:sz w:val="22"/>
              </w:rPr>
              <w:t>&lt;Matrícula&gt;</w:t>
            </w:r>
          </w:p>
        </w:tc>
      </w:tr>
    </w:tbl>
    <w:p w:rsidR="008E374F" w:rsidRDefault="009334CA" w14:paraId="0B9EA350" w14:textId="77777777">
      <w:pPr>
        <w:pStyle w:val="Textbody"/>
        <w:spacing w:before="120" w:after="0"/>
        <w:ind w:left="360"/>
        <w:jc w:val="right"/>
      </w:pPr>
      <w:r>
        <w:rPr>
          <w:rFonts w:ascii="Calibri" w:hAnsi="Calibri"/>
          <w:color w:val="FF3333"/>
        </w:rPr>
        <w:t xml:space="preserve">Local, </w:t>
      </w:r>
      <w:r>
        <w:rPr>
          <w:rFonts w:ascii="Calibri" w:hAnsi="Calibri"/>
          <w:i/>
          <w:color w:val="FF3333"/>
        </w:rPr>
        <w:t xml:space="preserve">&lt;dia&gt; </w:t>
      </w:r>
      <w:r>
        <w:rPr>
          <w:rFonts w:ascii="Calibri" w:hAnsi="Calibri"/>
          <w:color w:val="FF3333"/>
        </w:rPr>
        <w:t xml:space="preserve">de </w:t>
      </w:r>
      <w:r>
        <w:rPr>
          <w:rFonts w:ascii="Calibri" w:hAnsi="Calibri"/>
          <w:i/>
          <w:color w:val="FF3333"/>
        </w:rPr>
        <w:t>&lt;mês&gt;</w:t>
      </w:r>
      <w:r>
        <w:rPr>
          <w:rFonts w:ascii="Calibri" w:hAnsi="Calibri"/>
          <w:color w:val="FF3333"/>
        </w:rPr>
        <w:t xml:space="preserve"> de </w:t>
      </w:r>
      <w:r>
        <w:rPr>
          <w:rFonts w:ascii="Calibri" w:hAnsi="Calibri"/>
          <w:i/>
          <w:color w:val="FF3333"/>
        </w:rPr>
        <w:t>&lt;ano&gt;</w:t>
      </w:r>
      <w:r>
        <w:rPr>
          <w:rFonts w:ascii="Calibri" w:hAnsi="Calibri"/>
          <w:color w:val="FF3333"/>
        </w:rPr>
        <w:t>.</w:t>
      </w:r>
    </w:p>
    <w:sectPr w:rsidR="008E374F">
      <w:headerReference w:type="default" r:id="rId11"/>
      <w:footerReference w:type="default" r:id="rId12"/>
      <w:pgSz w:w="11906" w:h="16838" w:orient="portrait"/>
      <w:pgMar w:top="2647" w:right="1134" w:bottom="1644" w:left="1417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151E" w:rsidRDefault="001B151E" w14:paraId="320C652B" w14:textId="77777777">
      <w:r>
        <w:separator/>
      </w:r>
    </w:p>
  </w:endnote>
  <w:endnote w:type="continuationSeparator" w:id="0">
    <w:p w:rsidR="001B151E" w:rsidRDefault="001B151E" w14:paraId="1B586F00" w14:textId="77777777">
      <w:r>
        <w:continuationSeparator/>
      </w:r>
    </w:p>
  </w:endnote>
  <w:endnote w:type="continuationNotice" w:id="1">
    <w:p w:rsidR="001B151E" w:rsidRDefault="001B151E" w14:paraId="64DB66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0117" w:rsidRDefault="009334CA" w14:paraId="39926E8A" w14:textId="77777777">
    <w:pPr>
      <w:pStyle w:val="Footer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9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151E" w:rsidRDefault="001B151E" w14:paraId="6704E643" w14:textId="77777777">
      <w:r>
        <w:rPr>
          <w:color w:val="000000"/>
        </w:rPr>
        <w:separator/>
      </w:r>
    </w:p>
  </w:footnote>
  <w:footnote w:type="continuationSeparator" w:id="0">
    <w:p w:rsidR="001B151E" w:rsidRDefault="001B151E" w14:paraId="73C0766C" w14:textId="77777777">
      <w:r>
        <w:continuationSeparator/>
      </w:r>
    </w:p>
  </w:footnote>
  <w:footnote w:type="continuationNotice" w:id="1">
    <w:p w:rsidR="001B151E" w:rsidRDefault="001B151E" w14:paraId="4B4B864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63"/>
    </w:tblGrid>
    <w:tr w:rsidR="00660117" w14:paraId="7952DEBA" w14:textId="77777777">
      <w:trPr>
        <w:trHeight w:val="1065"/>
      </w:trPr>
      <w:tc>
        <w:tcPr>
          <w:tcW w:w="9363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660117" w:rsidRDefault="009334CA" w14:paraId="3DD6ED1A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:rsidR="00660117" w:rsidRDefault="00660117" w14:paraId="7B376F1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A3AC3"/>
    <w:multiLevelType w:val="hybridMultilevel"/>
    <w:tmpl w:val="C616DCFA"/>
    <w:lvl w:ilvl="0" w:tplc="F53455A0">
      <w:start w:val="1"/>
      <w:numFmt w:val="lowerLetter"/>
      <w:lvlText w:val="%1)"/>
      <w:lvlJc w:val="left"/>
      <w:pPr>
        <w:ind w:left="720" w:hanging="360"/>
      </w:pPr>
    </w:lvl>
    <w:lvl w:ilvl="1" w:tplc="43129C9E">
      <w:start w:val="1"/>
      <w:numFmt w:val="lowerLetter"/>
      <w:lvlText w:val="%2."/>
      <w:lvlJc w:val="left"/>
      <w:pPr>
        <w:ind w:left="1440" w:hanging="360"/>
      </w:pPr>
    </w:lvl>
    <w:lvl w:ilvl="2" w:tplc="C2FCC114">
      <w:start w:val="1"/>
      <w:numFmt w:val="lowerRoman"/>
      <w:lvlText w:val="%3."/>
      <w:lvlJc w:val="right"/>
      <w:pPr>
        <w:ind w:left="2160" w:hanging="180"/>
      </w:pPr>
    </w:lvl>
    <w:lvl w:ilvl="3" w:tplc="B7001B50">
      <w:start w:val="1"/>
      <w:numFmt w:val="decimal"/>
      <w:lvlText w:val="%4."/>
      <w:lvlJc w:val="left"/>
      <w:pPr>
        <w:ind w:left="2880" w:hanging="360"/>
      </w:pPr>
    </w:lvl>
    <w:lvl w:ilvl="4" w:tplc="0FD0FCE4">
      <w:start w:val="1"/>
      <w:numFmt w:val="lowerLetter"/>
      <w:lvlText w:val="%5."/>
      <w:lvlJc w:val="left"/>
      <w:pPr>
        <w:ind w:left="3600" w:hanging="360"/>
      </w:pPr>
    </w:lvl>
    <w:lvl w:ilvl="5" w:tplc="6B0E5498">
      <w:start w:val="1"/>
      <w:numFmt w:val="lowerRoman"/>
      <w:lvlText w:val="%6."/>
      <w:lvlJc w:val="right"/>
      <w:pPr>
        <w:ind w:left="4320" w:hanging="180"/>
      </w:pPr>
    </w:lvl>
    <w:lvl w:ilvl="6" w:tplc="E392D3EC">
      <w:start w:val="1"/>
      <w:numFmt w:val="decimal"/>
      <w:lvlText w:val="%7."/>
      <w:lvlJc w:val="left"/>
      <w:pPr>
        <w:ind w:left="5040" w:hanging="360"/>
      </w:pPr>
    </w:lvl>
    <w:lvl w:ilvl="7" w:tplc="8B748732">
      <w:start w:val="1"/>
      <w:numFmt w:val="lowerLetter"/>
      <w:lvlText w:val="%8."/>
      <w:lvlJc w:val="left"/>
      <w:pPr>
        <w:ind w:left="5760" w:hanging="360"/>
      </w:pPr>
    </w:lvl>
    <w:lvl w:ilvl="8" w:tplc="22E61994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06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10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4F"/>
    <w:rsid w:val="0002646A"/>
    <w:rsid w:val="001B151E"/>
    <w:rsid w:val="0034310A"/>
    <w:rsid w:val="003A58AC"/>
    <w:rsid w:val="00587D3B"/>
    <w:rsid w:val="00660117"/>
    <w:rsid w:val="006C58BF"/>
    <w:rsid w:val="008427BB"/>
    <w:rsid w:val="00875281"/>
    <w:rsid w:val="008E374F"/>
    <w:rsid w:val="00916905"/>
    <w:rsid w:val="009334CA"/>
    <w:rsid w:val="00A667DE"/>
    <w:rsid w:val="00B01C49"/>
    <w:rsid w:val="00B551C8"/>
    <w:rsid w:val="00C67C68"/>
    <w:rsid w:val="00C852FA"/>
    <w:rsid w:val="00D21D8D"/>
    <w:rsid w:val="00FB0922"/>
    <w:rsid w:val="049F76EA"/>
    <w:rsid w:val="08251927"/>
    <w:rsid w:val="096243B3"/>
    <w:rsid w:val="09F5FB3B"/>
    <w:rsid w:val="13401FF6"/>
    <w:rsid w:val="16BB55E6"/>
    <w:rsid w:val="1F6C019D"/>
    <w:rsid w:val="2100E192"/>
    <w:rsid w:val="2145D881"/>
    <w:rsid w:val="245D219B"/>
    <w:rsid w:val="28E4E1BF"/>
    <w:rsid w:val="2FC48CA0"/>
    <w:rsid w:val="3CE3695A"/>
    <w:rsid w:val="417107DC"/>
    <w:rsid w:val="4337C48D"/>
    <w:rsid w:val="4A2F6487"/>
    <w:rsid w:val="4A5B5058"/>
    <w:rsid w:val="5316A2A7"/>
    <w:rsid w:val="538CDD81"/>
    <w:rsid w:val="584EF0B1"/>
    <w:rsid w:val="59594B50"/>
    <w:rsid w:val="698E0A08"/>
    <w:rsid w:val="6B612410"/>
    <w:rsid w:val="6CDD769F"/>
    <w:rsid w:val="6DCA1A89"/>
    <w:rsid w:val="72854140"/>
    <w:rsid w:val="74C0E399"/>
    <w:rsid w:val="7C699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6126"/>
  <w15:docId w15:val="{65F76841-C988-4F35-84C1-4404CB704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itle">
    <w:name w:val="Subtitle"/>
    <w:basedOn w:val="Heading"/>
    <w:next w:val="Textbody"/>
    <w:uiPriority w:val="11"/>
    <w:qFormat/>
    <w:rPr>
      <w:i/>
      <w:iCs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western" w:customStyle="1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styleId="Table" w:customStyle="1">
    <w:name w:val="Table"/>
    <w:basedOn w:val="Caption"/>
  </w:style>
  <w:style w:type="paragraph" w:styleId="Illustration" w:customStyle="1">
    <w:name w:val="Illustration"/>
    <w:basedOn w:val="Caption"/>
  </w:style>
  <w:style w:type="paragraph" w:styleId="Footnote" w:customStyle="1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"/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NumberingSymbols" w:customStyle="1">
    <w:name w:val="Numbering Symbols"/>
    <w:rPr>
      <w:rFonts w:ascii="Arial" w:hAnsi="Arial" w:eastAsia="Arial" w:cs="Arial"/>
      <w:b/>
      <w:bCs/>
      <w:color w:val="auto"/>
      <w:sz w:val="24"/>
      <w:szCs w:val="24"/>
    </w:rPr>
  </w:style>
  <w:style w:type="character" w:styleId="FootnoteSymbol" w:customStyle="1">
    <w:name w:val="Footnote Symbol"/>
  </w:style>
  <w:style w:type="character" w:styleId="Footnoteanchor" w:customStyle="1">
    <w:name w:val="Footnote anchor"/>
    <w:rPr>
      <w:position w:val="0"/>
      <w:vertAlign w:val="superscript"/>
    </w:rPr>
  </w:style>
  <w:style w:type="paragraph" w:styleId="Revision">
    <w:name w:val="Revision"/>
    <w:pPr>
      <w:spacing w:after="0" w:line="240" w:lineRule="auto"/>
      <w:textAlignment w:val="auto"/>
    </w:pPr>
    <w:rPr>
      <w:rFonts w:ascii="Times New Roman" w:hAnsi="Times New Roman" w:eastAsia="SimSun" w:cs="Mangal"/>
      <w:kern w:val="3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480895-5D20-47BE-BB44-D626D0FA55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441C5-55E8-484F-9361-6B0398354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11ECC9-F778-47B4-A362-D8377B2317F9}">
  <ds:schemaRefs>
    <ds:schemaRef ds:uri="http://schemas.microsoft.com/office/2006/metadata/properties"/>
    <ds:schemaRef ds:uri="http://schemas.microsoft.com/office/infopath/2007/PartnerControls"/>
    <ds:schemaRef ds:uri="8189a329-b568-4eef-85cb-0b87258ac610"/>
    <ds:schemaRef ds:uri="6b69e0ef-d27d-470e-880f-3d6c413f2b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4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2023-03-01T22:58:00Z</dcterms:created>
  <dcterms:modified xsi:type="dcterms:W3CDTF">2023-03-29T02:11:41Z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