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t xml:space="preserve"/>
      </w:r>
    </w:p>
    <w:p>
      <w:pPr>
        <w:spacing w:before="0" w:after="160"/>
        <w:jc w:val="center"/>
      </w:pPr>
      <w:r>
        <w:rPr>
          <w:rFonts w:ascii="Arial" w:cs="Arial" w:eastAsia="Arial" w:hAnsi="Arial"/>
          <w:b/>
          <w:bCs/>
          <w:color w:val="0D3B6E"/>
          <w:sz w:val="52"/>
          <w:szCs w:val="52"/>
        </w:rPr>
        <w:t xml:space="preserve">Ecossistema SaaS ITSM Inteligente</w:t>
      </w:r>
    </w:p>
    <w:p>
      <w:pPr>
        <w:spacing w:before="0" w:after="80"/>
        <w:jc w:val="center"/>
      </w:pPr>
      <w:r>
        <w:rPr>
          <w:rFonts w:ascii="Arial" w:cs="Arial" w:eastAsia="Arial" w:hAnsi="Arial"/>
          <w:color w:val="185FA5"/>
          <w:sz w:val="32"/>
          <w:szCs w:val="32"/>
        </w:rPr>
        <w:t xml:space="preserve">Componentes, Entregáveis e Arquitectura Escalável</w:t>
      </w:r>
    </w:p>
    <w:p>
      <w:pPr>
        <w:spacing w:before="0" w:after="120"/>
      </w:pPr>
      <w:r>
        <w:t xml:space="preserve"/>
      </w:r>
    </w:p>
    <w:p>
      <w:pPr>
        <w:spacing w:before="0" w:after="40"/>
        <w:jc w:val="center"/>
      </w:pPr>
      <w:r>
        <w:rPr>
          <w:rFonts w:ascii="Arial" w:cs="Arial" w:eastAsia="Arial" w:hAnsi="Arial"/>
          <w:color w:val="666666"/>
          <w:sz w:val="22"/>
          <w:szCs w:val="22"/>
        </w:rPr>
        <w:t xml:space="preserve">Versão 3.0 — Documentação Actualizada com Gaps e Recomendações Arquitecturais</w:t>
      </w:r>
    </w:p>
    <w:p>
      <w:pPr>
        <w:spacing w:before="0" w:after="0"/>
        <w:jc w:val="center"/>
      </w:pPr>
      <w:r>
        <w:rPr>
          <w:rFonts w:ascii="Arial" w:cs="Arial" w:eastAsia="Arial" w:hAnsi="Arial"/>
          <w:color w:val="888888"/>
          <w:sz w:val="22"/>
          <w:szCs w:val="22"/>
        </w:rPr>
        <w:t xml:space="preserve">2025</w:t>
      </w:r>
    </w:p>
    <w:p>
      <w:r>
        <w:br w:type="page"/>
      </w:r>
    </w:p>
    <w:p>
      <w:pPr>
        <w:pStyle w:val="Heading1"/>
        <w:spacing w:before="360" w:after="160"/>
      </w:pPr>
      <w:r>
        <w:rPr>
          <w:rFonts w:ascii="Arial" w:cs="Arial" w:eastAsia="Arial" w:hAnsi="Arial"/>
          <w:b/>
          <w:bCs/>
          <w:color w:val="0D3B6E"/>
          <w:sz w:val="36"/>
          <w:szCs w:val="36"/>
        </w:rPr>
        <w:t xml:space="preserve">Índice</w:t>
      </w:r>
    </w:p>
    <w:sdt>
      <w:sdtPr>
        <w:alias w:val="Índice de Conteúdo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60"/>
      </w:pPr>
      <w:r>
        <w:rPr>
          <w:rFonts w:ascii="Arial" w:cs="Arial" w:eastAsia="Arial" w:hAnsi="Arial"/>
          <w:b/>
          <w:bCs/>
          <w:color w:val="0D3B6E"/>
          <w:sz w:val="36"/>
          <w:szCs w:val="36"/>
        </w:rPr>
        <w:t xml:space="preserve">1. Sumário Executivo</w:t>
      </w:r>
    </w:p>
    <w:p>
      <w:pPr>
        <w:spacing w:before="60" w:after="100"/>
        <w:jc w:val="left"/>
      </w:pPr>
      <w:r>
        <w:rPr>
          <w:rFonts w:ascii="Arial" w:cs="Arial" w:eastAsia="Arial" w:hAnsi="Arial"/>
          <w:color w:val="333333"/>
          <w:sz w:val="20"/>
          <w:szCs w:val="20"/>
        </w:rPr>
        <w:t xml:space="preserve">Este documento descreve a arquitectura, componentes e entregáveis do Ecossistema SaaS ITSM Inteligente, uma plataforma modular de gestão de serviços de TI com camadas progressivas de inteligência artificial.</w:t>
      </w:r>
    </w:p>
    <w:p>
      <w:pPr>
        <w:spacing w:before="60" w:after="100"/>
        <w:jc w:val="left"/>
      </w:pPr>
      <w:r>
        <w:rPr>
          <w:rFonts w:ascii="Arial" w:cs="Arial" w:eastAsia="Arial" w:hAnsi="Arial"/>
          <w:color w:val="333333"/>
          <w:sz w:val="20"/>
          <w:szCs w:val="20"/>
        </w:rPr>
        <w:t xml:space="preserve">Esta versão 3.0 incorpora os resultados de uma revisão arquitectural completa, identificando 10 gaps críticos e de alta severidade na documentação original, e propondo soluções concretas para cada um. As principais adições são:</w:t>
      </w:r>
    </w:p>
    <w:p>
      <w:pPr>
        <w:pStyle w:val="ListParagraph"/>
        <w:numPr>
          <w:ilvl w:val="0"/>
          <w:numId w:val="2"/>
        </w:numPr>
        <w:spacing w:before="40" w:after="40"/>
      </w:pPr>
      <w:r>
        <w:rPr>
          <w:rFonts w:ascii="Arial" w:cs="Arial" w:eastAsia="Arial" w:hAnsi="Arial"/>
          <w:color w:val="333333"/>
          <w:sz w:val="20"/>
          <w:szCs w:val="20"/>
        </w:rPr>
        <w:t xml:space="preserve">Multi-tenancy nativo via tenant_id e Row-Level Security em todas as entidades core (M1)</w:t>
      </w:r>
    </w:p>
    <w:p>
      <w:pPr>
        <w:pStyle w:val="ListParagraph"/>
        <w:numPr>
          <w:ilvl w:val="0"/>
          <w:numId w:val="2"/>
        </w:numPr>
        <w:spacing w:before="40" w:after="40"/>
      </w:pPr>
      <w:r>
        <w:rPr>
          <w:rFonts w:ascii="Arial" w:cs="Arial" w:eastAsia="Arial" w:hAnsi="Arial"/>
          <w:color w:val="333333"/>
          <w:sz w:val="20"/>
          <w:szCs w:val="20"/>
        </w:rPr>
        <w:t xml:space="preserve">Event Bus centralizado (NATS JetStream → Kafka) como camada de comunicação assíncrona entre módulos</w:t>
      </w:r>
    </w:p>
    <w:p>
      <w:pPr>
        <w:pStyle w:val="ListParagraph"/>
        <w:numPr>
          <w:ilvl w:val="0"/>
          <w:numId w:val="2"/>
        </w:numPr>
        <w:spacing w:before="40" w:after="40"/>
      </w:pPr>
      <w:r>
        <w:rPr>
          <w:rFonts w:ascii="Arial" w:cs="Arial" w:eastAsia="Arial" w:hAnsi="Arial"/>
          <w:color w:val="333333"/>
          <w:sz w:val="20"/>
          <w:szCs w:val="20"/>
        </w:rPr>
        <w:t xml:space="preserve">Estratégia de cold start da IA com modelos pré-treinados em datasets ITSM públicos</w:t>
      </w:r>
    </w:p>
    <w:p>
      <w:pPr>
        <w:pStyle w:val="ListParagraph"/>
        <w:numPr>
          <w:ilvl w:val="0"/>
          <w:numId w:val="2"/>
        </w:numPr>
        <w:spacing w:before="40" w:after="40"/>
      </w:pPr>
      <w:r>
        <w:rPr>
          <w:rFonts w:ascii="Arial" w:cs="Arial" w:eastAsia="Arial" w:hAnsi="Arial"/>
          <w:color w:val="333333"/>
          <w:sz w:val="20"/>
          <w:szCs w:val="20"/>
        </w:rPr>
        <w:t xml:space="preserve">API Gateway unificado com OAuth2, tenant resolver e rate limiting</w:t>
      </w:r>
    </w:p>
    <w:p>
      <w:pPr>
        <w:pStyle w:val="ListParagraph"/>
        <w:numPr>
          <w:ilvl w:val="0"/>
          <w:numId w:val="2"/>
        </w:numPr>
        <w:spacing w:before="40" w:after="40"/>
      </w:pPr>
      <w:r>
        <w:rPr>
          <w:rFonts w:ascii="Arial" w:cs="Arial" w:eastAsia="Arial" w:hAnsi="Arial"/>
          <w:color w:val="333333"/>
          <w:sz w:val="20"/>
          <w:szCs w:val="20"/>
        </w:rPr>
        <w:t xml:space="preserve">Roadmap faseado em 4 fases com critérios claros de entrada e saída</w:t>
      </w:r>
    </w:p>
    <w:p>
      <w:pPr>
        <w:pStyle w:val="ListParagraph"/>
        <w:numPr>
          <w:ilvl w:val="0"/>
          <w:numId w:val="2"/>
        </w:numPr>
        <w:spacing w:before="40" w:after="40"/>
      </w:pPr>
      <w:r>
        <w:rPr>
          <w:rFonts w:ascii="Arial" w:cs="Arial" w:eastAsia="Arial" w:hAnsi="Arial"/>
          <w:color w:val="333333"/>
          <w:sz w:val="20"/>
          <w:szCs w:val="20"/>
        </w:rPr>
        <w:t xml:space="preserve">Decisões técnicas explícitas com justificação (monólito modular vs. microserviços, RLS vs. schema-per-tenant, etc.)</w:t>
      </w:r>
    </w:p>
    <w:p>
      <w:pPr>
        <w:spacing w:before="0" w:after="120"/>
      </w:pPr>
      <w:r>
        <w:t xml:space="preserve"/>
      </w:r>
    </w:p>
    <w:p>
      <w:pPr>
        <w:pStyle w:val="Heading1"/>
        <w:spacing w:before="360" w:after="160"/>
      </w:pPr>
      <w:r>
        <w:rPr>
          <w:rFonts w:ascii="Arial" w:cs="Arial" w:eastAsia="Arial" w:hAnsi="Arial"/>
          <w:b/>
          <w:bCs/>
          <w:color w:val="0D3B6E"/>
          <w:sz w:val="36"/>
          <w:szCs w:val="36"/>
        </w:rPr>
        <w:t xml:space="preserve">2. Índice de Módulos</w:t>
      </w:r>
    </w:p>
    <w:p>
      <w:pPr>
        <w:spacing w:before="60" w:after="100"/>
        <w:jc w:val="left"/>
      </w:pPr>
      <w:r>
        <w:rPr>
          <w:rFonts w:ascii="Arial" w:cs="Arial" w:eastAsia="Arial" w:hAnsi="Arial"/>
          <w:color w:val="333333"/>
          <w:sz w:val="20"/>
          <w:szCs w:val="20"/>
        </w:rPr>
        <w:t xml:space="preserve">O ecossistema é composto por 22 módulos organizados em 6 camadas. Esta tabela indica a fase de entrega recomendada e o estado de documentação de cada módulo.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800"/>
        <w:gridCol w:w="1000"/>
        <w:gridCol w:w="2960"/>
      </w:tblGrid>
      <w:tr>
        <w:tc>
          <w:tcPr>
            <w:tcW w:type="dxa" w:w="800"/>
            <w:tcBorders>
              <w:top w:val="single" w:color="DDDDDD" w:sz="1"/>
              <w:left w:val="single" w:color="DDDDDD" w:sz="1"/>
              <w:bottom w:val="single" w:color="DDDDDD" w:sz="1"/>
              <w:right w:val="single" w:color="DDDDDD" w:sz="1"/>
            </w:tcBorders>
            <w:shd w:fill="0D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Módulo</w:t>
            </w:r>
          </w:p>
        </w:tc>
        <w:tc>
          <w:tcPr>
            <w:tcW w:type="dxa" w:w="2800"/>
            <w:tcBorders>
              <w:top w:val="single" w:color="DDDDDD" w:sz="1"/>
              <w:left w:val="single" w:color="DDDDDD" w:sz="1"/>
              <w:bottom w:val="single" w:color="DDDDDD" w:sz="1"/>
              <w:right w:val="single" w:color="DDDDDD" w:sz="1"/>
            </w:tcBorders>
            <w:shd w:fill="0D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Nome</w:t>
            </w:r>
          </w:p>
        </w:tc>
        <w:tc>
          <w:tcPr>
            <w:tcW w:type="dxa" w:w="1800"/>
            <w:tcBorders>
              <w:top w:val="single" w:color="DDDDDD" w:sz="1"/>
              <w:left w:val="single" w:color="DDDDDD" w:sz="1"/>
              <w:bottom w:val="single" w:color="DDDDDD" w:sz="1"/>
              <w:right w:val="single" w:color="DDDDDD" w:sz="1"/>
            </w:tcBorders>
            <w:shd w:fill="0D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Camada</w:t>
            </w:r>
          </w:p>
        </w:tc>
        <w:tc>
          <w:tcPr>
            <w:tcW w:type="dxa" w:w="1000"/>
            <w:tcBorders>
              <w:top w:val="single" w:color="DDDDDD" w:sz="1"/>
              <w:left w:val="single" w:color="DDDDDD" w:sz="1"/>
              <w:bottom w:val="single" w:color="DDDDDD" w:sz="1"/>
              <w:right w:val="single" w:color="DDDDDD" w:sz="1"/>
            </w:tcBorders>
            <w:shd w:fill="0D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Fase</w:t>
            </w:r>
          </w:p>
        </w:tc>
        <w:tc>
          <w:tcPr>
            <w:tcW w:type="dxa" w:w="2960"/>
            <w:tcBorders>
              <w:top w:val="single" w:color="DDDDDD" w:sz="1"/>
              <w:left w:val="single" w:color="DDDDDD" w:sz="1"/>
              <w:bottom w:val="single" w:color="DDDDDD" w:sz="1"/>
              <w:right w:val="single" w:color="DDDDDD" w:sz="1"/>
            </w:tcBorders>
            <w:shd w:fill="0D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Estado doc.</w:t>
            </w:r>
          </w:p>
        </w:tc>
      </w:tr>
      <w:tr>
        <w:tc>
          <w:tcPr>
            <w:tcW w:type="dxa" w:w="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bCs/>
                <w:color w:val="0D3B6E"/>
                <w:sz w:val="18"/>
                <w:szCs w:val="18"/>
              </w:rPr>
              <w:t xml:space="preserve">M1</w:t>
            </w:r>
          </w:p>
        </w:tc>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Plataforma Core SaaS ITSM</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Core</w:t>
            </w:r>
          </w:p>
        </w:tc>
        <w:tc>
          <w:tcPr>
            <w:tcW w:type="dxa" w:w="10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Fase 1</w:t>
            </w:r>
          </w:p>
        </w:tc>
        <w:tc>
          <w:tcPr>
            <w:tcW w:type="dxa" w:w="29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Detalhado — actualizado v3</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D3B6E"/>
                <w:sz w:val="18"/>
                <w:szCs w:val="18"/>
              </w:rPr>
              <w:t xml:space="preserve">M2</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Camada Cognitiva de IA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IA</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Fase 1</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Detalhado — actualizado v3</w:t>
            </w:r>
          </w:p>
        </w:tc>
      </w:tr>
      <w:tr>
        <w:tc>
          <w:tcPr>
            <w:tcW w:type="dxa" w:w="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bCs/>
                <w:color w:val="0D3B6E"/>
                <w:sz w:val="18"/>
                <w:szCs w:val="18"/>
              </w:rPr>
              <w:t xml:space="preserve">M3</w:t>
            </w:r>
          </w:p>
        </w:tc>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Automação e Auto-Cura de IA</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IA</w:t>
            </w:r>
          </w:p>
        </w:tc>
        <w:tc>
          <w:tcPr>
            <w:tcW w:type="dxa" w:w="10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Fase 2</w:t>
            </w:r>
          </w:p>
        </w:tc>
        <w:tc>
          <w:tcPr>
            <w:tcW w:type="dxa" w:w="29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Detalhado — actualizado v3</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D3B6E"/>
                <w:sz w:val="18"/>
                <w:szCs w:val="18"/>
              </w:rPr>
              <w:t xml:space="preserve">M4</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Camada de Conhecimento de IA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IA</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Fase 1</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Detalhado — actualizado v3</w:t>
            </w:r>
          </w:p>
        </w:tc>
      </w:tr>
      <w:tr>
        <w:tc>
          <w:tcPr>
            <w:tcW w:type="dxa" w:w="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bCs/>
                <w:color w:val="0D3B6E"/>
                <w:sz w:val="18"/>
                <w:szCs w:val="18"/>
              </w:rPr>
              <w:t xml:space="preserve">M5</w:t>
            </w:r>
          </w:p>
        </w:tc>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IA Preditiva e Preventiva</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IA</w:t>
            </w:r>
          </w:p>
        </w:tc>
        <w:tc>
          <w:tcPr>
            <w:tcW w:type="dxa" w:w="10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Fase 3</w:t>
            </w:r>
          </w:p>
        </w:tc>
        <w:tc>
          <w:tcPr>
            <w:tcW w:type="dxa" w:w="29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Detalhado — actualizado v3</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D3B6E"/>
                <w:sz w:val="18"/>
                <w:szCs w:val="18"/>
              </w:rPr>
              <w:t xml:space="preserve">M6</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Insights da Força de Trabalho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Insights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Fase 2</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Detalhado — actualizado v3</w:t>
            </w:r>
          </w:p>
        </w:tc>
      </w:tr>
      <w:tr>
        <w:tc>
          <w:tcPr>
            <w:tcW w:type="dxa" w:w="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bCs/>
                <w:color w:val="0D3B6E"/>
                <w:sz w:val="18"/>
                <w:szCs w:val="18"/>
              </w:rPr>
              <w:t xml:space="preserve">M7</w:t>
            </w:r>
          </w:p>
        </w:tc>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Insights de IA para o Negócio</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Insights</w:t>
            </w:r>
          </w:p>
        </w:tc>
        <w:tc>
          <w:tcPr>
            <w:tcW w:type="dxa" w:w="10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Fase 3</w:t>
            </w:r>
          </w:p>
        </w:tc>
        <w:tc>
          <w:tcPr>
            <w:tcW w:type="dxa" w:w="29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Detalhado — actualizado v3</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D3B6E"/>
                <w:sz w:val="18"/>
                <w:szCs w:val="18"/>
              </w:rPr>
              <w:t xml:space="preserve">M8</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Maturidade e Competências de IA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Insights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Fase 3</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Detalhado — actualizado v3</w:t>
            </w:r>
          </w:p>
        </w:tc>
      </w:tr>
      <w:tr>
        <w:tc>
          <w:tcPr>
            <w:tcW w:type="dxa" w:w="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bCs/>
                <w:color w:val="0D3B6E"/>
                <w:sz w:val="18"/>
                <w:szCs w:val="18"/>
              </w:rPr>
              <w:t xml:space="preserve">M9</w:t>
            </w:r>
          </w:p>
        </w:tc>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Relatórios e Dashboards Executivos</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Governança</w:t>
            </w:r>
          </w:p>
        </w:tc>
        <w:tc>
          <w:tcPr>
            <w:tcW w:type="dxa" w:w="10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Fase 2</w:t>
            </w:r>
          </w:p>
        </w:tc>
        <w:tc>
          <w:tcPr>
            <w:tcW w:type="dxa" w:w="29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Detalhado — actualizado v3</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D3B6E"/>
                <w:sz w:val="18"/>
                <w:szCs w:val="18"/>
              </w:rPr>
              <w:t xml:space="preserve">M10</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Auditoria e Conformidade de IA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Governança</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Fase 2</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Detalhado — actualizado v3</w:t>
            </w:r>
          </w:p>
        </w:tc>
      </w:tr>
      <w:tr>
        <w:tc>
          <w:tcPr>
            <w:tcW w:type="dxa" w:w="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bCs/>
                <w:color w:val="0D3B6E"/>
                <w:sz w:val="18"/>
                <w:szCs w:val="18"/>
              </w:rPr>
              <w:t xml:space="preserve">M11</w:t>
            </w:r>
          </w:p>
        </w:tc>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Monitoramento e Observabilidade</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Governança</w:t>
            </w:r>
          </w:p>
        </w:tc>
        <w:tc>
          <w:tcPr>
            <w:tcW w:type="dxa" w:w="10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Fase 2</w:t>
            </w:r>
          </w:p>
        </w:tc>
        <w:tc>
          <w:tcPr>
            <w:tcW w:type="dxa" w:w="29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Detalhado — actualizado v3</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D3B6E"/>
                <w:sz w:val="18"/>
                <w:szCs w:val="18"/>
              </w:rPr>
              <w:t xml:space="preserve">M12</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Automação de SR Oracle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Especializado</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Fase 4</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Detalhado — actualizado v3</w:t>
            </w:r>
          </w:p>
        </w:tc>
      </w:tr>
      <w:tr>
        <w:tc>
          <w:tcPr>
            <w:tcW w:type="dxa" w:w="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bCs/>
                <w:color w:val="0D3B6E"/>
                <w:sz w:val="18"/>
                <w:szCs w:val="18"/>
              </w:rPr>
              <w:t xml:space="preserve">M13</w:t>
            </w:r>
          </w:p>
        </w:tc>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Hub de Integração (APIs)</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Governança</w:t>
            </w:r>
          </w:p>
        </w:tc>
        <w:tc>
          <w:tcPr>
            <w:tcW w:type="dxa" w:w="10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Fase 2</w:t>
            </w:r>
          </w:p>
        </w:tc>
        <w:tc>
          <w:tcPr>
            <w:tcW w:type="dxa" w:w="29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Detalhado — actualizado v3</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D3B6E"/>
                <w:sz w:val="18"/>
                <w:szCs w:val="18"/>
              </w:rPr>
              <w:t xml:space="preserve">M14</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Governança e TrustOps de IA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Especializado</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Fase 3</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Detalhado — actualizado v3</w:t>
            </w:r>
          </w:p>
        </w:tc>
      </w:tr>
      <w:tr>
        <w:tc>
          <w:tcPr>
            <w:tcW w:type="dxa" w:w="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bCs/>
                <w:color w:val="0D3B6E"/>
                <w:sz w:val="18"/>
                <w:szCs w:val="18"/>
              </w:rPr>
              <w:t xml:space="preserve">M15</w:t>
            </w:r>
          </w:p>
        </w:tc>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Gamificação e Engajamento</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Especializado</w:t>
            </w:r>
          </w:p>
        </w:tc>
        <w:tc>
          <w:tcPr>
            <w:tcW w:type="dxa" w:w="10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Fase 3</w:t>
            </w:r>
          </w:p>
        </w:tc>
        <w:tc>
          <w:tcPr>
            <w:tcW w:type="dxa" w:w="29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Detalhado — actualizado v3</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D3B6E"/>
                <w:sz w:val="18"/>
                <w:szCs w:val="18"/>
              </w:rPr>
              <w:t xml:space="preserve">M16</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Gestão de Capacidade de IA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Especializado</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Fase 3</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Detalhado — actualizado v3</w:t>
            </w:r>
          </w:p>
        </w:tc>
      </w:tr>
      <w:tr>
        <w:tc>
          <w:tcPr>
            <w:tcW w:type="dxa" w:w="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bCs/>
                <w:color w:val="0D3B6E"/>
                <w:sz w:val="18"/>
                <w:szCs w:val="18"/>
              </w:rPr>
              <w:t xml:space="preserve">M17</w:t>
            </w:r>
          </w:p>
        </w:tc>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Gestão Financeira de TI (ITFM)</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Especializado</w:t>
            </w:r>
          </w:p>
        </w:tc>
        <w:tc>
          <w:tcPr>
            <w:tcW w:type="dxa" w:w="10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Fase 3</w:t>
            </w:r>
          </w:p>
        </w:tc>
        <w:tc>
          <w:tcPr>
            <w:tcW w:type="dxa" w:w="29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Detalhado — actualizado v3</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D3B6E"/>
                <w:sz w:val="18"/>
                <w:szCs w:val="18"/>
              </w:rPr>
              <w:t xml:space="preserve">M18</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Geração Inteligente de Propostas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Comercial</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Fase 4</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Detalhado — actualizado v3</w:t>
            </w:r>
          </w:p>
        </w:tc>
      </w:tr>
      <w:tr>
        <w:tc>
          <w:tcPr>
            <w:tcW w:type="dxa" w:w="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bCs/>
                <w:color w:val="0D3B6E"/>
                <w:sz w:val="18"/>
                <w:szCs w:val="18"/>
              </w:rPr>
              <w:t xml:space="preserve">M19</w:t>
            </w:r>
          </w:p>
        </w:tc>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Previsão de Sucesso de Propostas</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Comercial</w:t>
            </w:r>
          </w:p>
        </w:tc>
        <w:tc>
          <w:tcPr>
            <w:tcW w:type="dxa" w:w="10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Fase 4</w:t>
            </w:r>
          </w:p>
        </w:tc>
        <w:tc>
          <w:tcPr>
            <w:tcW w:type="dxa" w:w="29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Detalhado — actualizado v3</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D3B6E"/>
                <w:sz w:val="18"/>
                <w:szCs w:val="18"/>
              </w:rPr>
              <w:t xml:space="preserve">M20</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Optimização de Rotas de Campo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Comercial</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Fase 4</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Detalhado — actualizado v3</w:t>
            </w:r>
          </w:p>
        </w:tc>
      </w:tr>
      <w:tr>
        <w:tc>
          <w:tcPr>
            <w:tcW w:type="dxa" w:w="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bCs/>
                <w:color w:val="0D3B6E"/>
                <w:sz w:val="18"/>
                <w:szCs w:val="18"/>
              </w:rPr>
              <w:t xml:space="preserve">M21</w:t>
            </w:r>
          </w:p>
        </w:tc>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Transição para Suporte (pós go-live)</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Comercial</w:t>
            </w:r>
          </w:p>
        </w:tc>
        <w:tc>
          <w:tcPr>
            <w:tcW w:type="dxa" w:w="10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Fase 4</w:t>
            </w:r>
          </w:p>
        </w:tc>
        <w:tc>
          <w:tcPr>
            <w:tcW w:type="dxa" w:w="29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 especificar — referenciado por M4/M5/M8</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D3B6E"/>
                <w:sz w:val="18"/>
                <w:szCs w:val="18"/>
              </w:rPr>
              <w:t xml:space="preserve">M22</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Geração de Propostas Comerciais (RFP)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Comercial</w:t>
            </w:r>
          </w:p>
        </w:tc>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Fase 4</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 especificar — referenciado por M4/M5</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33806" w:sz="6"/>
              <w:left w:val="single" w:color="633806" w:sz="1"/>
              <w:bottom w:val="single" w:color="633806" w:sz="1"/>
              <w:right w:val="single" w:color="633806" w:sz="1"/>
            </w:tcBorders>
            <w:shd w:fill="FAEEDA" w:val="clear"/>
            <w:tcMar>
              <w:top w:type="dxa" w:w="100"/>
              <w:left w:type="dxa" w:w="160"/>
              <w:bottom w:type="dxa" w:w="100"/>
              <w:right w:type="dxa" w:w="160"/>
            </w:tcMar>
          </w:tcPr>
          <w:p>
            <w:pPr>
              <w:spacing w:before="0" w:after="60"/>
            </w:pPr>
            <w:r>
              <w:rPr>
                <w:rFonts w:ascii="Arial" w:cs="Arial" w:eastAsia="Arial" w:hAnsi="Arial"/>
                <w:b/>
                <w:bCs/>
                <w:color w:val="633806"/>
                <w:sz w:val="18"/>
                <w:szCs w:val="18"/>
              </w:rPr>
              <w:t xml:space="preserve">Nota sobre M21 e M22</w:t>
            </w:r>
          </w:p>
          <w:p>
            <w:pPr>
              <w:spacing w:before="0" w:after="0"/>
            </w:pPr>
            <w:r>
              <w:rPr>
                <w:rFonts w:ascii="Arial" w:cs="Arial" w:eastAsia="Arial" w:hAnsi="Arial"/>
                <w:color w:val="333333"/>
                <w:sz w:val="20"/>
                <w:szCs w:val="20"/>
              </w:rPr>
              <w:t xml:space="preserve">Os módulos M21 (Transição para Suporte / pós go-live) e M22 (Geração de Propostas RFP) são referenciados em módulos de Fase 1–3 mas não estão especificados. Esta versão remove as dependências de runtime nesses módulos — são tratados como integrações futuras via M13. A especificação de M21 e M22 deve ser prioridade antes do início da Fase 4.</w:t>
            </w:r>
          </w:p>
        </w:tc>
      </w:tr>
    </w:tbl>
    <w:p>
      <w:r>
        <w:br w:type="page"/>
      </w:r>
    </w:p>
    <w:p>
      <w:pPr>
        <w:pStyle w:val="Heading1"/>
        <w:spacing w:before="360" w:after="160"/>
      </w:pPr>
      <w:r>
        <w:rPr>
          <w:rFonts w:ascii="Arial" w:cs="Arial" w:eastAsia="Arial" w:hAnsi="Arial"/>
          <w:b/>
          <w:bCs/>
          <w:color w:val="0D3B6E"/>
          <w:sz w:val="36"/>
          <w:szCs w:val="36"/>
        </w:rPr>
        <w:t xml:space="preserve">3. Gaps Identificados e Soluções</w:t>
      </w:r>
    </w:p>
    <w:p>
      <w:pPr>
        <w:spacing w:before="60" w:after="100"/>
        <w:jc w:val="left"/>
      </w:pPr>
      <w:r>
        <w:rPr>
          <w:rFonts w:ascii="Arial" w:cs="Arial" w:eastAsia="Arial" w:hAnsi="Arial"/>
          <w:color w:val="333333"/>
          <w:sz w:val="20"/>
          <w:szCs w:val="20"/>
        </w:rPr>
        <w:t xml:space="preserve">A revisão arquitectural identificou 10 gaps na documentação original, classificados por severidade. Os gaps críticos afectam a viabilidade fundamental do produto como SaaS multi-tenant. Os gaps de nível alto afectam a escalabilidade e a proposta de valor. Os gaps médios afectam a qualidade e a completude.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400"/>
        <w:gridCol w:w="2760"/>
      </w:tblGrid>
      <w:tr>
        <w:tc>
          <w:tcPr>
            <w:tcW w:type="dxa" w:w="1400"/>
            <w:tcBorders>
              <w:top w:val="single" w:color="DDDDDD" w:sz="1"/>
              <w:left w:val="single" w:color="DDDDDD" w:sz="1"/>
              <w:bottom w:val="single" w:color="DDDDDD" w:sz="1"/>
              <w:right w:val="single" w:color="DDDDDD" w:sz="1"/>
            </w:tcBorders>
            <w:shd w:fill="0D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Severidade</w:t>
            </w:r>
          </w:p>
        </w:tc>
        <w:tc>
          <w:tcPr>
            <w:tcW w:type="dxa" w:w="2800"/>
            <w:tcBorders>
              <w:top w:val="single" w:color="DDDDDD" w:sz="1"/>
              <w:left w:val="single" w:color="DDDDDD" w:sz="1"/>
              <w:bottom w:val="single" w:color="DDDDDD" w:sz="1"/>
              <w:right w:val="single" w:color="DDDDDD" w:sz="1"/>
            </w:tcBorders>
            <w:shd w:fill="0D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Gap identificado</w:t>
            </w:r>
          </w:p>
        </w:tc>
        <w:tc>
          <w:tcPr>
            <w:tcW w:type="dxa" w:w="2400"/>
            <w:tcBorders>
              <w:top w:val="single" w:color="DDDDDD" w:sz="1"/>
              <w:left w:val="single" w:color="DDDDDD" w:sz="1"/>
              <w:bottom w:val="single" w:color="DDDDDD" w:sz="1"/>
              <w:right w:val="single" w:color="DDDDDD" w:sz="1"/>
            </w:tcBorders>
            <w:shd w:fill="0D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Impacto</w:t>
            </w:r>
          </w:p>
        </w:tc>
        <w:tc>
          <w:tcPr>
            <w:tcW w:type="dxa" w:w="2760"/>
            <w:tcBorders>
              <w:top w:val="single" w:color="DDDDDD" w:sz="1"/>
              <w:left w:val="single" w:color="DDDDDD" w:sz="1"/>
              <w:bottom w:val="single" w:color="DDDDDD" w:sz="1"/>
              <w:right w:val="single" w:color="DDDDDD" w:sz="1"/>
            </w:tcBorders>
            <w:shd w:fill="0D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Solução proposta</w:t>
            </w:r>
          </w:p>
        </w:tc>
      </w:tr>
      <w:tr>
        <w:tc>
          <w:tcPr>
            <w:tcW w:type="dxa" w:w="1400"/>
            <w:tcBorders>
              <w:top w:val="single" w:color="DDDDDD" w:sz="1"/>
              <w:left w:val="single" w:color="DDDDDD" w:sz="1"/>
              <w:bottom w:val="single" w:color="DDDDDD" w:sz="1"/>
              <w:right w:val="single" w:color="DDDDDD" w:sz="1"/>
            </w:tcBorders>
            <w:shd w:fill="FAECE7" w:val="clear"/>
            <w:tcMar>
              <w:top w:type="dxa" w:w="80"/>
              <w:left w:type="dxa" w:w="140"/>
              <w:bottom w:type="dxa" w:w="80"/>
              <w:right w:type="dxa" w:w="140"/>
            </w:tcMar>
            <w:vAlign w:val="center"/>
          </w:tcPr>
          <w:p>
            <w:pPr>
              <w:jc w:val="left"/>
            </w:pPr>
            <w:r>
              <w:rPr>
                <w:rFonts w:ascii="Arial" w:cs="Arial" w:eastAsia="Arial" w:hAnsi="Arial"/>
                <w:b/>
                <w:bCs/>
                <w:color w:val="712B13"/>
                <w:sz w:val="18"/>
                <w:szCs w:val="18"/>
              </w:rPr>
              <w:t xml:space="preserve">Crítico</w:t>
            </w:r>
          </w:p>
        </w:tc>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Ausência de Event Bus central</w:t>
            </w:r>
          </w:p>
        </w:tc>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Acoplamento rígido entre módulos via FK directa; uma mudança no M1 quebra M2, M3, M6 em simultâneo. Impede escalar módulos independentemente.</w:t>
            </w:r>
          </w:p>
        </w:tc>
        <w:tc>
          <w:tcPr>
            <w:tcW w:type="dxa" w:w="27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Introduzir NATS JetStream (Fase 1→2) como camada de mensagens assíncrona. Kafka quando volume justificar (&gt;50k eventos/dia). Schema Registry (Avro) desde o início.</w:t>
            </w:r>
          </w:p>
        </w:tc>
      </w:tr>
      <w:tr>
        <w:tc>
          <w:tcPr>
            <w:tcW w:type="dxa" w:w="1400"/>
            <w:tcBorders>
              <w:top w:val="single" w:color="DDDDDD" w:sz="1"/>
              <w:left w:val="single" w:color="DDDDDD" w:sz="1"/>
              <w:bottom w:val="single" w:color="DDDDDD" w:sz="1"/>
              <w:right w:val="single" w:color="DDDDDD" w:sz="1"/>
            </w:tcBorders>
            <w:shd w:fill="FAECE7" w:val="clear"/>
            <w:tcMar>
              <w:top w:type="dxa" w:w="80"/>
              <w:left w:type="dxa" w:w="140"/>
              <w:bottom w:type="dxa" w:w="80"/>
              <w:right w:type="dxa" w:w="140"/>
            </w:tcMar>
            <w:vAlign w:val="center"/>
          </w:tcPr>
          <w:p>
            <w:pPr>
              <w:jc w:val="left"/>
            </w:pPr>
            <w:r>
              <w:rPr>
                <w:rFonts w:ascii="Arial" w:cs="Arial" w:eastAsia="Arial" w:hAnsi="Arial"/>
                <w:b/>
                <w:bCs/>
                <w:color w:val="712B13"/>
                <w:sz w:val="18"/>
                <w:szCs w:val="18"/>
              </w:rPr>
              <w:t xml:space="preserve">Crítico</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Sem estratégia de Multi-tenancy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Modelo de dados não separa dados de múltiplos clientes. Impossível vender como SaaS a várias organizações sem migração invasiva posterior.</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Adicionar tenant_id a todas as entidades core. Row-Level Security (RLS) no PostgreSQL como padrão. Opção schema-per-tenant para clientes enterprise com requisitos de isolamento.</w:t>
            </w:r>
          </w:p>
        </w:tc>
      </w:tr>
      <w:tr>
        <w:tc>
          <w:tcPr>
            <w:tcW w:type="dxa" w:w="1400"/>
            <w:tcBorders>
              <w:top w:val="single" w:color="DDDDDD" w:sz="1"/>
              <w:left w:val="single" w:color="DDDDDD" w:sz="1"/>
              <w:bottom w:val="single" w:color="DDDDDD" w:sz="1"/>
              <w:right w:val="single" w:color="DDDDDD" w:sz="1"/>
            </w:tcBorders>
            <w:shd w:fill="FAECE7" w:val="clear"/>
            <w:tcMar>
              <w:top w:type="dxa" w:w="80"/>
              <w:left w:type="dxa" w:w="140"/>
              <w:bottom w:type="dxa" w:w="80"/>
              <w:right w:type="dxa" w:w="140"/>
            </w:tcMar>
            <w:vAlign w:val="center"/>
          </w:tcPr>
          <w:p>
            <w:pPr>
              <w:jc w:val="left"/>
            </w:pPr>
            <w:r>
              <w:rPr>
                <w:rFonts w:ascii="Arial" w:cs="Arial" w:eastAsia="Arial" w:hAnsi="Arial"/>
                <w:b/>
                <w:bCs/>
                <w:color w:val="712B13"/>
                <w:sz w:val="18"/>
                <w:szCs w:val="18"/>
              </w:rPr>
              <w:t xml:space="preserve">Crítico</w:t>
            </w:r>
          </w:p>
        </w:tc>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Cold start da IA sem dados históricos</w:t>
            </w:r>
          </w:p>
        </w:tc>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M2, M5, M8 e M19 são inúteis em dia zero sem histórico. Compromete a proposta de valor principal desde o lançamento.</w:t>
            </w:r>
          </w:p>
        </w:tc>
        <w:tc>
          <w:tcPr>
            <w:tcW w:type="dxa" w:w="27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Modelos pré-treinados em datasets ITSM públicos (SNOW dataset, Jira OSS). Regras heurísticas como fallback. Fine-tuning por tenant activado progressivamente com os primeiros 500 tickets.</w:t>
            </w:r>
          </w:p>
        </w:tc>
      </w:tr>
      <w:tr>
        <w:tc>
          <w:tcPr>
            <w:tcW w:type="dxa" w:w="1400"/>
            <w:tcBorders>
              <w:top w:val="single" w:color="DDDDDD" w:sz="1"/>
              <w:left w:val="single" w:color="DDDDDD" w:sz="1"/>
              <w:bottom w:val="single" w:color="DDDDDD" w:sz="1"/>
              <w:right w:val="single" w:color="DDDDDD" w:sz="1"/>
            </w:tcBorders>
            <w:shd w:fill="FAECE7" w:val="clear"/>
            <w:tcMar>
              <w:top w:type="dxa" w:w="80"/>
              <w:left w:type="dxa" w:w="140"/>
              <w:bottom w:type="dxa" w:w="80"/>
              <w:right w:type="dxa" w:w="140"/>
            </w:tcMar>
            <w:vAlign w:val="center"/>
          </w:tcPr>
          <w:p>
            <w:pPr>
              <w:jc w:val="left"/>
            </w:pPr>
            <w:r>
              <w:rPr>
                <w:rFonts w:ascii="Arial" w:cs="Arial" w:eastAsia="Arial" w:hAnsi="Arial"/>
                <w:b/>
                <w:bCs/>
                <w:color w:val="712B13"/>
                <w:sz w:val="18"/>
                <w:szCs w:val="18"/>
              </w:rPr>
              <w:t xml:space="preserve">Crítico</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Sem API Gateway e Auth unificado</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Cada módulo gere autenticação própria. Impossível aplicar rate limiting, tenant routing e audit logging de forma consistente.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 Gateway (Kong OSS ou Traefik) como único ponto de entrada. OAuth2 + JWT com roles mapeados ao RBAC do M1. Tenant resolver via header ou subdomain.</w:t>
            </w:r>
          </w:p>
        </w:tc>
      </w:tr>
      <w:tr>
        <w:tc>
          <w:tcPr>
            <w:tcW w:type="dxa" w:w="1400"/>
            <w:tcBorders>
              <w:top w:val="single" w:color="DDDDDD" w:sz="1"/>
              <w:left w:val="single" w:color="DDDDDD" w:sz="1"/>
              <w:bottom w:val="single" w:color="DDDDDD" w:sz="1"/>
              <w:right w:val="single" w:color="DDDDDD" w:sz="1"/>
            </w:tcBorders>
            <w:shd w:fill="FAEEDA" w:val="clear"/>
            <w:tcMar>
              <w:top w:type="dxa" w:w="80"/>
              <w:left w:type="dxa" w:w="140"/>
              <w:bottom w:type="dxa" w:w="80"/>
              <w:right w:type="dxa" w:w="140"/>
            </w:tcMar>
            <w:vAlign w:val="center"/>
          </w:tcPr>
          <w:p>
            <w:pPr>
              <w:jc w:val="left"/>
            </w:pPr>
            <w:r>
              <w:rPr>
                <w:rFonts w:ascii="Arial" w:cs="Arial" w:eastAsia="Arial" w:hAnsi="Arial"/>
                <w:b/>
                <w:bCs/>
                <w:color w:val="633806"/>
                <w:sz w:val="18"/>
                <w:szCs w:val="18"/>
              </w:rPr>
              <w:t xml:space="preserve">Alto</w:t>
            </w:r>
          </w:p>
        </w:tc>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M21 e M22 não especificados</w:t>
            </w:r>
          </w:p>
        </w:tc>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São referenciados como fontes de dados por M4, M5 e M8. Cria dependências indefinidas em módulos documentados.</w:t>
            </w:r>
          </w:p>
        </w:tc>
        <w:tc>
          <w:tcPr>
            <w:tcW w:type="dxa" w:w="27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Remover dependências de M21/M22 dos módulos de Fase 1–3. Tratar como integrações futuras via M13 (Hub). Especificar em iteração separada antes da Fase 4.</w:t>
            </w:r>
          </w:p>
        </w:tc>
      </w:tr>
      <w:tr>
        <w:tc>
          <w:tcPr>
            <w:tcW w:type="dxa" w:w="1400"/>
            <w:tcBorders>
              <w:top w:val="single" w:color="DDDDDD" w:sz="1"/>
              <w:left w:val="single" w:color="DDDDDD" w:sz="1"/>
              <w:bottom w:val="single" w:color="DDDDDD" w:sz="1"/>
              <w:right w:val="single" w:color="DDDDDD" w:sz="1"/>
            </w:tcBorders>
            <w:shd w:fill="FAEEDA" w:val="clear"/>
            <w:tcMar>
              <w:top w:type="dxa" w:w="80"/>
              <w:left w:type="dxa" w:w="140"/>
              <w:bottom w:type="dxa" w:w="80"/>
              <w:right w:type="dxa" w:w="140"/>
            </w:tcMar>
            <w:vAlign w:val="center"/>
          </w:tcPr>
          <w:p>
            <w:pPr>
              <w:jc w:val="left"/>
            </w:pPr>
            <w:r>
              <w:rPr>
                <w:rFonts w:ascii="Arial" w:cs="Arial" w:eastAsia="Arial" w:hAnsi="Arial"/>
                <w:b/>
                <w:bCs/>
                <w:color w:val="633806"/>
                <w:sz w:val="18"/>
                <w:szCs w:val="18"/>
              </w:rPr>
              <w:t xml:space="preserve">Alto</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Sem definição de SLA da plataforma</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Sem spec de disponibilidade (99.9%? 99.99%), RTO/RPO ou estratégia de disaster recovery. Bloqueia vendas a segmento enterprise.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Definir SLA por tier: Standard 99.5%, Professional 99.9%, Enterprise 99.99%. PostgreSQL com réplicas de leitura. Deploy multi-AZ desde M1. Backups automáticos diários com retenção 30 dias.</w:t>
            </w:r>
          </w:p>
        </w:tc>
      </w:tr>
      <w:tr>
        <w:tc>
          <w:tcPr>
            <w:tcW w:type="dxa" w:w="1400"/>
            <w:tcBorders>
              <w:top w:val="single" w:color="DDDDDD" w:sz="1"/>
              <w:left w:val="single" w:color="DDDDDD" w:sz="1"/>
              <w:bottom w:val="single" w:color="DDDDDD" w:sz="1"/>
              <w:right w:val="single" w:color="DDDDDD" w:sz="1"/>
            </w:tcBorders>
            <w:shd w:fill="FAEEDA" w:val="clear"/>
            <w:tcMar>
              <w:top w:type="dxa" w:w="80"/>
              <w:left w:type="dxa" w:w="140"/>
              <w:bottom w:type="dxa" w:w="80"/>
              <w:right w:type="dxa" w:w="140"/>
            </w:tcMar>
            <w:vAlign w:val="center"/>
          </w:tcPr>
          <w:p>
            <w:pPr>
              <w:jc w:val="left"/>
            </w:pPr>
            <w:r>
              <w:rPr>
                <w:rFonts w:ascii="Arial" w:cs="Arial" w:eastAsia="Arial" w:hAnsi="Arial"/>
                <w:b/>
                <w:bCs/>
                <w:color w:val="633806"/>
                <w:sz w:val="18"/>
                <w:szCs w:val="18"/>
              </w:rPr>
              <w:t xml:space="preserve">Alto</w:t>
            </w:r>
          </w:p>
        </w:tc>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Modelo de preços e licensing ausente</w:t>
            </w:r>
          </w:p>
        </w:tc>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Sem packaging definido, impossível implementar feature flags ou construir flow de onboarding por tier.</w:t>
            </w:r>
          </w:p>
        </w:tc>
        <w:tc>
          <w:tcPr>
            <w:tcW w:type="dxa" w:w="27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Definir tiers: Starter (M1+M2+M4), Professional (+M3, M6, M9, M11, M13), Enterprise (todos os módulos). Feature flags por tenant via Unleash self-hosted.</w:t>
            </w:r>
          </w:p>
        </w:tc>
      </w:tr>
      <w:tr>
        <w:tc>
          <w:tcPr>
            <w:tcW w:type="dxa" w:w="1400"/>
            <w:tcBorders>
              <w:top w:val="single" w:color="DDDDDD" w:sz="1"/>
              <w:left w:val="single" w:color="DDDDDD" w:sz="1"/>
              <w:bottom w:val="single" w:color="DDDDDD" w:sz="1"/>
              <w:right w:val="single" w:color="DDDDDD" w:sz="1"/>
            </w:tcBorders>
            <w:shd w:fill="FAEEDA" w:val="clear"/>
            <w:tcMar>
              <w:top w:type="dxa" w:w="80"/>
              <w:left w:type="dxa" w:w="140"/>
              <w:bottom w:type="dxa" w:w="80"/>
              <w:right w:type="dxa" w:w="140"/>
            </w:tcMar>
            <w:vAlign w:val="center"/>
          </w:tcPr>
          <w:p>
            <w:pPr>
              <w:jc w:val="left"/>
            </w:pPr>
            <w:r>
              <w:rPr>
                <w:rFonts w:ascii="Arial" w:cs="Arial" w:eastAsia="Arial" w:hAnsi="Arial"/>
                <w:b/>
                <w:bCs/>
                <w:color w:val="633806"/>
                <w:sz w:val="18"/>
                <w:szCs w:val="18"/>
              </w:rPr>
              <w:t xml:space="preserve">Alto</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Stack tecnológica excessivamente heterogénea</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20+ tecnologias diferentes. Equipa de 3–6 pessoas não consegue operar. Aumenta risco operacional e tempo de onboarding.</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Consolidar: Python/FastAPI para backend IA, Node.js ou Python para APIs REST, PostgreSQL como único DB relacional nas Fases 1–2. Adicionar Kafka, Elasticsearch e InfluxDB apenas na Fase 3.</w:t>
            </w:r>
          </w:p>
        </w:tc>
      </w:tr>
      <w:tr>
        <w:tc>
          <w:tcPr>
            <w:tcW w:type="dxa" w:w="1400"/>
            <w:tcBorders>
              <w:top w:val="single" w:color="DDDDDD" w:sz="1"/>
              <w:left w:val="single" w:color="DDDDDD" w:sz="1"/>
              <w:bottom w:val="single" w:color="DDDDDD" w:sz="1"/>
              <w:right w:val="single" w:color="DDDDDD" w:sz="1"/>
            </w:tcBorders>
            <w:shd w:fill="EBF4FC" w:val="clear"/>
            <w:tcMar>
              <w:top w:type="dxa" w:w="80"/>
              <w:left w:type="dxa" w:w="140"/>
              <w:bottom w:type="dxa" w:w="80"/>
              <w:right w:type="dxa" w:w="140"/>
            </w:tcMar>
            <w:vAlign w:val="center"/>
          </w:tcPr>
          <w:p>
            <w:pPr>
              <w:jc w:val="left"/>
            </w:pPr>
            <w:r>
              <w:rPr>
                <w:rFonts w:ascii="Arial" w:cs="Arial" w:eastAsia="Arial" w:hAnsi="Arial"/>
                <w:b/>
                <w:bCs/>
                <w:color w:val="185FA5"/>
                <w:sz w:val="18"/>
                <w:szCs w:val="18"/>
              </w:rPr>
              <w:t xml:space="preserve">Médio</w:t>
            </w:r>
          </w:p>
        </w:tc>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Sem especificação de real-time / WebSocket</w:t>
            </w:r>
          </w:p>
        </w:tc>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Portal de autoatendimento e app de campo precisam de actualizações em tempo real. Não há spec de SSE ou WebSocket.</w:t>
            </w:r>
          </w:p>
        </w:tc>
        <w:tc>
          <w:tcPr>
            <w:tcW w:type="dxa" w:w="27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Server-Sent Events (SSE) para notificações unidireccionais. WebSocket (Socket.IO) apenas para app de campo (M20) onde há bidirecionalidade. Webhooks de saída configuráveis por tenant.</w:t>
            </w:r>
          </w:p>
        </w:tc>
      </w:tr>
      <w:tr>
        <w:tc>
          <w:tcPr>
            <w:tcW w:type="dxa" w:w="1400"/>
            <w:tcBorders>
              <w:top w:val="single" w:color="DDDDDD" w:sz="1"/>
              <w:left w:val="single" w:color="DDDDDD" w:sz="1"/>
              <w:bottom w:val="single" w:color="DDDDDD" w:sz="1"/>
              <w:right w:val="single" w:color="DDDDDD" w:sz="1"/>
            </w:tcBorders>
            <w:shd w:fill="EBF4FC" w:val="clear"/>
            <w:tcMar>
              <w:top w:type="dxa" w:w="80"/>
              <w:left w:type="dxa" w:w="140"/>
              <w:bottom w:type="dxa" w:w="80"/>
              <w:right w:type="dxa" w:w="140"/>
            </w:tcMar>
            <w:vAlign w:val="center"/>
          </w:tcPr>
          <w:p>
            <w:pPr>
              <w:jc w:val="left"/>
            </w:pPr>
            <w:r>
              <w:rPr>
                <w:rFonts w:ascii="Arial" w:cs="Arial" w:eastAsia="Arial" w:hAnsi="Arial"/>
                <w:b/>
                <w:bCs/>
                <w:color w:val="185FA5"/>
                <w:sz w:val="18"/>
                <w:szCs w:val="18"/>
              </w:rPr>
              <w:t xml:space="preserve">Médio</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CMDB sem estratégia de auto-discovery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Preenchimento manual do CMDB limita a utilidade do M2 e M5 que dependem de CIs correctos para correlação de incidentes.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M11 publica eventos ci.discovered no Event Bus. M1 consome e cria CIs com source=AUTO_DISCOVERY, sujeito a aprovação humana. Importação via CSV/API como alternativa.</w:t>
            </w:r>
          </w:p>
        </w:tc>
      </w:tr>
    </w:tbl>
    <w:p>
      <w:r>
        <w:br w:type="page"/>
      </w:r>
    </w:p>
    <w:p>
      <w:pPr>
        <w:pStyle w:val="Heading1"/>
        <w:spacing w:before="360" w:after="160"/>
      </w:pPr>
      <w:r>
        <w:rPr>
          <w:rFonts w:ascii="Arial" w:cs="Arial" w:eastAsia="Arial" w:hAnsi="Arial"/>
          <w:b/>
          <w:bCs/>
          <w:color w:val="0D3B6E"/>
          <w:sz w:val="36"/>
          <w:szCs w:val="36"/>
        </w:rPr>
        <w:t xml:space="preserve">4. Arquitectura Proposta</w:t>
      </w:r>
    </w:p>
    <w:p>
      <w:pPr>
        <w:pStyle w:val="Heading2"/>
        <w:spacing w:before="280" w:after="120"/>
      </w:pPr>
      <w:r>
        <w:rPr>
          <w:rFonts w:ascii="Arial" w:cs="Arial" w:eastAsia="Arial" w:hAnsi="Arial"/>
          <w:b/>
          <w:bCs/>
          <w:color w:val="185FA5"/>
          <w:sz w:val="28"/>
          <w:szCs w:val="28"/>
        </w:rPr>
        <w:t xml:space="preserve">4.1 Princípios Arquitecturais</w:t>
      </w:r>
    </w:p>
    <w:p>
      <w:pPr>
        <w:pStyle w:val="ListParagraph"/>
        <w:numPr>
          <w:ilvl w:val="0"/>
          <w:numId w:val="2"/>
        </w:numPr>
        <w:spacing w:before="40" w:after="40"/>
      </w:pPr>
      <w:r>
        <w:rPr>
          <w:rFonts w:ascii="Arial" w:cs="Arial" w:eastAsia="Arial" w:hAnsi="Arial"/>
          <w:color w:val="333333"/>
          <w:sz w:val="20"/>
          <w:szCs w:val="20"/>
        </w:rPr>
        <w:t xml:space="preserve">Desacoplamento via Event Bus: nenhum módulo acede directamente ao DB de outro módulo — apenas via eventos publicados no NATS/Kafka</w:t>
      </w:r>
    </w:p>
    <w:p>
      <w:pPr>
        <w:pStyle w:val="ListParagraph"/>
        <w:numPr>
          <w:ilvl w:val="0"/>
          <w:numId w:val="2"/>
        </w:numPr>
        <w:spacing w:before="40" w:after="40"/>
      </w:pPr>
      <w:r>
        <w:rPr>
          <w:rFonts w:ascii="Arial" w:cs="Arial" w:eastAsia="Arial" w:hAnsi="Arial"/>
          <w:color w:val="333333"/>
          <w:sz w:val="20"/>
          <w:szCs w:val="20"/>
        </w:rPr>
        <w:t xml:space="preserve">Multi-tenancy first: tenant_id em todas as entidades, RLS no PostgreSQL, tenant resolver no API Gateway — não é possível adicionar multi-tenancy a posteriori sem migração invasiva</w:t>
      </w:r>
    </w:p>
    <w:p>
      <w:pPr>
        <w:pStyle w:val="ListParagraph"/>
        <w:numPr>
          <w:ilvl w:val="0"/>
          <w:numId w:val="2"/>
        </w:numPr>
        <w:spacing w:before="40" w:after="40"/>
      </w:pPr>
      <w:r>
        <w:rPr>
          <w:rFonts w:ascii="Arial" w:cs="Arial" w:eastAsia="Arial" w:hAnsi="Arial"/>
          <w:color w:val="333333"/>
          <w:sz w:val="20"/>
          <w:szCs w:val="20"/>
        </w:rPr>
        <w:t xml:space="preserve">Monólito modular nas Fases 1–2: código organizado em módulos isolados com interfaces bem definidas, num único processo. Extracção para serviços independentes quando o volume justificar</w:t>
      </w:r>
    </w:p>
    <w:p>
      <w:pPr>
        <w:pStyle w:val="ListParagraph"/>
        <w:numPr>
          <w:ilvl w:val="0"/>
          <w:numId w:val="2"/>
        </w:numPr>
        <w:spacing w:before="40" w:after="40"/>
      </w:pPr>
      <w:r>
        <w:rPr>
          <w:rFonts w:ascii="Arial" w:cs="Arial" w:eastAsia="Arial" w:hAnsi="Arial"/>
          <w:color w:val="333333"/>
          <w:sz w:val="20"/>
          <w:szCs w:val="20"/>
        </w:rPr>
        <w:t xml:space="preserve">Feature flags por tenant: activação/desactivação de módulos por cliente via Unleash. Suporta tiers de produto, rollouts graduais e configurações personalizadas</w:t>
      </w:r>
    </w:p>
    <w:p>
      <w:pPr>
        <w:pStyle w:val="ListParagraph"/>
        <w:numPr>
          <w:ilvl w:val="0"/>
          <w:numId w:val="2"/>
        </w:numPr>
        <w:spacing w:before="40" w:after="40"/>
      </w:pPr>
      <w:r>
        <w:rPr>
          <w:rFonts w:ascii="Arial" w:cs="Arial" w:eastAsia="Arial" w:hAnsi="Arial"/>
          <w:color w:val="333333"/>
          <w:sz w:val="20"/>
          <w:szCs w:val="20"/>
        </w:rPr>
        <w:t xml:space="preserve">Infra mínima viável: escolher a tecnologia mais simples que resolva o problema. Adicionar complexidade (Kafka, Elasticsearch, Qdrant) apenas quando métricas concretas o justificarem</w:t>
      </w:r>
    </w:p>
    <w:p>
      <w:pPr>
        <w:spacing w:before="0" w:after="120"/>
      </w:pPr>
      <w:r>
        <w:t xml:space="preserve"/>
      </w:r>
    </w:p>
    <w:p>
      <w:pPr>
        <w:pStyle w:val="Heading2"/>
        <w:spacing w:before="280" w:after="120"/>
      </w:pPr>
      <w:r>
        <w:rPr>
          <w:rFonts w:ascii="Arial" w:cs="Arial" w:eastAsia="Arial" w:hAnsi="Arial"/>
          <w:b/>
          <w:bCs/>
          <w:color w:val="185FA5"/>
          <w:sz w:val="28"/>
          <w:szCs w:val="28"/>
        </w:rPr>
        <w:t xml:space="preserve">4.2 Camadas da Arquitectura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0D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Camada</w:t>
            </w:r>
          </w:p>
        </w:tc>
        <w:tc>
          <w:tcPr>
            <w:tcW w:type="dxa" w:w="7360"/>
            <w:tcBorders>
              <w:top w:val="single" w:color="DDDDDD" w:sz="1"/>
              <w:left w:val="single" w:color="DDDDDD" w:sz="1"/>
              <w:bottom w:val="single" w:color="DDDDDD" w:sz="1"/>
              <w:right w:val="single" w:color="DDDDDD" w:sz="1"/>
            </w:tcBorders>
            <w:shd w:fill="0D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Componentes e responsabilidade</w:t>
            </w:r>
          </w:p>
        </w:tc>
      </w:tr>
      <w:tr>
        <w:tc>
          <w:tcPr>
            <w:tcW w:type="dxa" w:w="20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Clientes</w:t>
            </w:r>
          </w:p>
        </w:tc>
        <w:tc>
          <w:tcPr>
            <w:tcW w:type="dxa" w:w="73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Portal Web (React), App Mobile campo (M20), API pública com documentação OpenAPI, Webhooks de saída configuráveis por tenant</w:t>
            </w:r>
          </w:p>
        </w:tc>
      </w:tr>
      <w:tr>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API Gateway</w:t>
            </w:r>
          </w:p>
        </w:tc>
        <w:tc>
          <w:tcPr>
            <w:tcW w:type="dxa" w:w="7360"/>
            <w:tcBorders>
              <w:top w:val="single" w:color="DDDDDD" w:sz="1"/>
              <w:left w:val="single" w:color="DDDDDD" w:sz="1"/>
              <w:bottom w:val="single" w:color="DDDDDD" w:sz="1"/>
              <w:right w:val="single" w:color="DDDDDD"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Kong OSS ou Traefik: único ponto de entrada. OAuth2 + JWT, tenant resolver (header X-Tenant-ID), rate limiting, audit log de todas as chamadas, routing para serviços internos</w:t>
            </w:r>
          </w:p>
        </w:tc>
      </w:tr>
      <w:tr>
        <w:tc>
          <w:tcPr>
            <w:tcW w:type="dxa" w:w="20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Serviços de domínio</w:t>
            </w:r>
          </w:p>
        </w:tc>
        <w:tc>
          <w:tcPr>
            <w:tcW w:type="dxa" w:w="73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Módulos M1 a M20 organizados por camada (Core, IA, Insights, Governança, Especializado, Comercial). Monólito modular nas Fases 1–2; extracção progressiva nas Fases 3–4</w:t>
            </w:r>
          </w:p>
        </w:tc>
      </w:tr>
      <w:tr>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Event Bus</w:t>
            </w:r>
          </w:p>
        </w:tc>
        <w:tc>
          <w:tcPr>
            <w:tcW w:type="dxa" w:w="7360"/>
            <w:tcBorders>
              <w:top w:val="single" w:color="DDDDDD" w:sz="1"/>
              <w:left w:val="single" w:color="DDDDDD" w:sz="1"/>
              <w:bottom w:val="single" w:color="DDDDDD" w:sz="1"/>
              <w:right w:val="single" w:color="DDDDDD"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NATS JetStream (Fases 1–2) → Apache Kafka (Fase 3+). Tópicos por domínio: ticket.*, ci.*, user.*, ai.*, monitoring.*, automation.*. Dead letter queue. Schema Registry (Avro)</w:t>
            </w:r>
          </w:p>
        </w:tc>
      </w:tr>
      <w:tr>
        <w:tc>
          <w:tcPr>
            <w:tcW w:type="dxa" w:w="20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Dados</w:t>
            </w:r>
          </w:p>
        </w:tc>
        <w:tc>
          <w:tcPr>
            <w:tcW w:type="dxa" w:w="73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PostgreSQL (transacional, M1) + pgvector (embeddings). DuckDB embutido (DWH, M9). Redis (cache). S3-compatible (ficheiros, modelos ML). TimescaleDB/InfluxDB (Fase 3, M11 métricas)</w:t>
            </w:r>
          </w:p>
        </w:tc>
      </w:tr>
      <w:tr>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Infra transversal</w:t>
            </w:r>
          </w:p>
        </w:tc>
        <w:tc>
          <w:tcPr>
            <w:tcW w:type="dxa" w:w="7360"/>
            <w:tcBorders>
              <w:top w:val="single" w:color="DDDDDD" w:sz="1"/>
              <w:left w:val="single" w:color="DDDDDD" w:sz="1"/>
              <w:bottom w:val="single" w:color="DDDDDD" w:sz="1"/>
              <w:right w:val="single" w:color="DDDDDD"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Feature flags: Unleash self-hosted. Observabilidade: OpenTelemetry → Grafana + Loki. CI/CD: GitHub Actions → Kubernetes gerido. Secrets: Vault ou Doppler. MLOps: MLflow</w:t>
            </w:r>
          </w:p>
        </w:tc>
      </w:tr>
    </w:tbl>
    <w:p>
      <w:pPr>
        <w:spacing w:before="0" w:after="160"/>
      </w:pPr>
      <w:r>
        <w:t xml:space="preserve"/>
      </w:r>
    </w:p>
    <w:p>
      <w:pPr>
        <w:pStyle w:val="Heading2"/>
        <w:spacing w:before="280" w:after="120"/>
      </w:pPr>
      <w:r>
        <w:rPr>
          <w:rFonts w:ascii="Arial" w:cs="Arial" w:eastAsia="Arial" w:hAnsi="Arial"/>
          <w:b/>
          <w:bCs/>
          <w:color w:val="185FA5"/>
          <w:sz w:val="28"/>
          <w:szCs w:val="28"/>
        </w:rPr>
        <w:t xml:space="preserve">4.3 Decisões Técnicas Fundamentais</w:t>
      </w:r>
    </w:p>
    <w:p>
      <w:pPr>
        <w:spacing w:before="60" w:after="100"/>
        <w:jc w:val="left"/>
      </w:pPr>
      <w:r>
        <w:rPr>
          <w:rFonts w:ascii="Arial" w:cs="Arial" w:eastAsia="Arial" w:hAnsi="Arial"/>
          <w:color w:val="333333"/>
          <w:sz w:val="20"/>
          <w:szCs w:val="20"/>
        </w:rPr>
        <w:t xml:space="preserve">As seguintes decisões têm impacto de longo prazo na escalabilidade e custo de operação. São decisões que devem ser tomadas antes de iniciar a Fase 1 — alterar depois implica refactoring significativo.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2360"/>
      </w:tblGrid>
      <w:tr>
        <w:tc>
          <w:tcPr>
            <w:tcW w:type="dxa" w:w="2400"/>
            <w:tcBorders>
              <w:top w:val="single" w:color="DDDDDD" w:sz="1"/>
              <w:left w:val="single" w:color="DDDDDD" w:sz="1"/>
              <w:bottom w:val="single" w:color="DDDDDD" w:sz="1"/>
              <w:right w:val="single" w:color="DDDDDD" w:sz="1"/>
            </w:tcBorders>
            <w:shd w:fill="0D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Decisão</w:t>
            </w:r>
          </w:p>
        </w:tc>
        <w:tc>
          <w:tcPr>
            <w:tcW w:type="dxa" w:w="2800"/>
            <w:tcBorders>
              <w:top w:val="single" w:color="DDDDDD" w:sz="1"/>
              <w:left w:val="single" w:color="DDDDDD" w:sz="1"/>
              <w:bottom w:val="single" w:color="DDDDDD" w:sz="1"/>
              <w:right w:val="single" w:color="DDDDDD" w:sz="1"/>
            </w:tcBorders>
            <w:shd w:fill="0D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Opção recomendada</w:t>
            </w:r>
          </w:p>
        </w:tc>
        <w:tc>
          <w:tcPr>
            <w:tcW w:type="dxa" w:w="1800"/>
            <w:tcBorders>
              <w:top w:val="single" w:color="DDDDDD" w:sz="1"/>
              <w:left w:val="single" w:color="DDDDDD" w:sz="1"/>
              <w:bottom w:val="single" w:color="DDDDDD" w:sz="1"/>
              <w:right w:val="single" w:color="DDDDDD" w:sz="1"/>
            </w:tcBorders>
            <w:shd w:fill="0D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Alternativas</w:t>
            </w:r>
          </w:p>
        </w:tc>
        <w:tc>
          <w:tcPr>
            <w:tcW w:type="dxa" w:w="2360"/>
            <w:tcBorders>
              <w:top w:val="single" w:color="DDDDDD" w:sz="1"/>
              <w:left w:val="single" w:color="DDDDDD" w:sz="1"/>
              <w:bottom w:val="single" w:color="DDDDDD" w:sz="1"/>
              <w:right w:val="single" w:color="DDDDDD" w:sz="1"/>
            </w:tcBorders>
            <w:shd w:fill="0D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Justificação</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Comunicação entre módulos</w:t>
            </w:r>
          </w:p>
        </w:tc>
        <w:tc>
          <w:tcPr>
            <w:tcW w:type="dxa" w:w="2800"/>
            <w:tcBorders>
              <w:top w:val="single" w:color="DDDDDD" w:sz="1"/>
              <w:left w:val="single" w:color="DDDDDD" w:sz="1"/>
              <w:bottom w:val="single" w:color="DDDDDD" w:sz="1"/>
              <w:right w:val="single" w:color="DDDDDD" w:sz="1"/>
            </w:tcBorders>
            <w:shd w:fill="E1F5EE"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Event Bus assíncrono — NATS JetStream (Fase 1–2) → Kafka (Fase 3+)</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REST directo; GraphQL Federation</w:t>
            </w:r>
          </w:p>
        </w:tc>
        <w:tc>
          <w:tcPr>
            <w:tcW w:type="dxa" w:w="23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REST directo cria acoplamento de deployment. Event Bus desacopla completamente: adicionar novos módulos sem tocar nos existentes.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Separação de dados multi-tenant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Row-Level Security (PostgreSQL RLS) + tenant_id em todas as tabelas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Schema por tenant; DB por tenant</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RLS é mais simples operacionalmente. Oferecer schema-per-tenant como upgrade enterprise. DB-per-tenant apenas para compliance extremo (BFSI).</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Arquitectura do codebase</w:t>
            </w:r>
          </w:p>
        </w:tc>
        <w:tc>
          <w:tcPr>
            <w:tcW w:type="dxa" w:w="2800"/>
            <w:tcBorders>
              <w:top w:val="single" w:color="DDDDDD" w:sz="1"/>
              <w:left w:val="single" w:color="DDDDDD" w:sz="1"/>
              <w:bottom w:val="single" w:color="DDDDDD" w:sz="1"/>
              <w:right w:val="single" w:color="DDDDDD" w:sz="1"/>
            </w:tcBorders>
            <w:shd w:fill="E1F5EE"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Monólito modular (Fase 1–2) com extracção progressiva para serviços</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Microserviços desde o início</w:t>
            </w:r>
          </w:p>
        </w:tc>
        <w:tc>
          <w:tcPr>
            <w:tcW w:type="dxa" w:w="23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Microserviços aumentam complexidade operacional sem benefício com equipa pequena. Monólito modular com interfaces bem definidas permite extracção futura.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Cold start da IA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Modelos pré-treinados em datasets ITSM públicos + heurísticas + fine-tuning progressivo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Treinar do zero por cliente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Treinar do zero requer meses de dados. Modelos pré-treinados garantem valor imediato. Fine-tuning periódico com dados do tenant melhora precisão gradualmente.</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Infra de deployment</w:t>
            </w:r>
          </w:p>
        </w:tc>
        <w:tc>
          <w:tcPr>
            <w:tcW w:type="dxa" w:w="2800"/>
            <w:tcBorders>
              <w:top w:val="single" w:color="DDDDDD" w:sz="1"/>
              <w:left w:val="single" w:color="DDDDDD" w:sz="1"/>
              <w:bottom w:val="single" w:color="DDDDDD" w:sz="1"/>
              <w:right w:val="single" w:color="DDDDDD" w:sz="1"/>
            </w:tcBorders>
            <w:shd w:fill="E1F5EE"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Docker Compose (dev/staging) → Kubernetes gerido (EKS/GKE/AKS) em produção</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Serverless; VMs simples</w:t>
            </w:r>
          </w:p>
        </w:tc>
        <w:tc>
          <w:tcPr>
            <w:tcW w:type="dxa" w:w="23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Serverless não adequado para LLMs e modelos ML (cold start, memória, GPU). K8s permite escalar pods por módulo, rolling updates e health checks geridos.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Feature flags e licensing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Unleash self-hosted — feature flags por tenant para activar/desactivar módulos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Tiers hardcoded; LaunchDarkly SaaS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Feature flags permitem configurações por cliente, rollouts graduais e pacotes personalizados sem tocar no código. Unleash é open-source e self-hostable.</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Vector search para KB e IA semântica</w:t>
            </w:r>
          </w:p>
        </w:tc>
        <w:tc>
          <w:tcPr>
            <w:tcW w:type="dxa" w:w="2800"/>
            <w:tcBorders>
              <w:top w:val="single" w:color="DDDDDD" w:sz="1"/>
              <w:left w:val="single" w:color="DDDDDD" w:sz="1"/>
              <w:bottom w:val="single" w:color="DDDDDD" w:sz="1"/>
              <w:right w:val="single" w:color="DDDDDD" w:sz="1"/>
            </w:tcBorders>
            <w:shd w:fill="E1F5EE"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pgvector (extensão PostgreSQL) nas Fases 1–2; Qdrant na Fase 3 se necessário</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Elasticsearch com dense_vector; Pinecone SaaS</w:t>
            </w:r>
          </w:p>
        </w:tc>
        <w:tc>
          <w:tcPr>
            <w:tcW w:type="dxa" w:w="23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pgvector elimina um serviço extra nas fases iniciais. Qdrant apenas quando o volume de embeddings justificar infra dedicada (&gt;1M vectores).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MLOps e gestão de modelos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MLflow self-hosted para tracking de experiências, versioning e serving de modelos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Weights &amp; Biases; SageMaker MLOps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MLflow é open-source, integra com Python nativamente e cobre tracking + model registry + serving. Adequado para Fases 1–3 sem custos de plataforma gerida.</w:t>
            </w:r>
          </w:p>
        </w:tc>
      </w:tr>
    </w:tbl>
    <w:p>
      <w:r>
        <w:br w:type="page"/>
      </w:r>
    </w:p>
    <w:p>
      <w:pPr>
        <w:pStyle w:val="Heading1"/>
        <w:spacing w:before="360" w:after="160"/>
      </w:pPr>
      <w:r>
        <w:rPr>
          <w:rFonts w:ascii="Arial" w:cs="Arial" w:eastAsia="Arial" w:hAnsi="Arial"/>
          <w:b/>
          <w:bCs/>
          <w:color w:val="0D3B6E"/>
          <w:sz w:val="36"/>
          <w:szCs w:val="36"/>
        </w:rPr>
        <w:t xml:space="preserve">5. Roadmap Faseado de Entrega</w:t>
      </w:r>
    </w:p>
    <w:p>
      <w:pPr>
        <w:spacing w:before="60" w:after="100"/>
        <w:jc w:val="left"/>
      </w:pPr>
      <w:r>
        <w:rPr>
          <w:rFonts w:ascii="Arial" w:cs="Arial" w:eastAsia="Arial" w:hAnsi="Arial"/>
          <w:color w:val="333333"/>
          <w:sz w:val="20"/>
          <w:szCs w:val="20"/>
        </w:rPr>
        <w:t xml:space="preserve">O ecossistema é entregue em 4 fases progressivas. Cada fase produz um produto funcional e vendável. A passagem para a fase seguinte é condicionada pela validação das métricas de sucesso da fase anterior — não por um calendário fixo.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000"/>
        <w:gridCol w:w="2360"/>
        <w:gridCol w:w="1400"/>
      </w:tblGrid>
      <w:tr>
        <w:tc>
          <w:tcPr>
            <w:tcW w:type="dxa" w:w="1200"/>
            <w:tcBorders>
              <w:top w:val="single" w:color="DDDDDD" w:sz="1"/>
              <w:left w:val="single" w:color="DDDDDD" w:sz="1"/>
              <w:bottom w:val="single" w:color="DDDDDD" w:sz="1"/>
              <w:right w:val="single" w:color="DDDDDD" w:sz="1"/>
            </w:tcBorders>
            <w:shd w:fill="0D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Fase</w:t>
            </w:r>
          </w:p>
        </w:tc>
        <w:tc>
          <w:tcPr>
            <w:tcW w:type="dxa" w:w="1400"/>
            <w:tcBorders>
              <w:top w:val="single" w:color="DDDDDD" w:sz="1"/>
              <w:left w:val="single" w:color="DDDDDD" w:sz="1"/>
              <w:bottom w:val="single" w:color="DDDDDD" w:sz="1"/>
              <w:right w:val="single" w:color="DDDDDD" w:sz="1"/>
            </w:tcBorders>
            <w:shd w:fill="0D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Horizonte</w:t>
            </w:r>
          </w:p>
        </w:tc>
        <w:tc>
          <w:tcPr>
            <w:tcW w:type="dxa" w:w="3000"/>
            <w:tcBorders>
              <w:top w:val="single" w:color="DDDDDD" w:sz="1"/>
              <w:left w:val="single" w:color="DDDDDD" w:sz="1"/>
              <w:bottom w:val="single" w:color="DDDDDD" w:sz="1"/>
              <w:right w:val="single" w:color="DDDDDD" w:sz="1"/>
            </w:tcBorders>
            <w:shd w:fill="0D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Módulos</w:t>
            </w:r>
          </w:p>
        </w:tc>
        <w:tc>
          <w:tcPr>
            <w:tcW w:type="dxa" w:w="2360"/>
            <w:tcBorders>
              <w:top w:val="single" w:color="DDDDDD" w:sz="1"/>
              <w:left w:val="single" w:color="DDDDDD" w:sz="1"/>
              <w:bottom w:val="single" w:color="DDDDDD" w:sz="1"/>
              <w:right w:val="single" w:color="DDDDDD" w:sz="1"/>
            </w:tcBorders>
            <w:shd w:fill="0D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Produto entregue</w:t>
            </w:r>
          </w:p>
        </w:tc>
        <w:tc>
          <w:tcPr>
            <w:tcW w:type="dxa" w:w="1400"/>
            <w:tcBorders>
              <w:top w:val="single" w:color="DDDDDD" w:sz="1"/>
              <w:left w:val="single" w:color="DDDDDD" w:sz="1"/>
              <w:bottom w:val="single" w:color="DDDDDD" w:sz="1"/>
              <w:right w:val="single" w:color="DDDDDD" w:sz="1"/>
            </w:tcBorders>
            <w:shd w:fill="0D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Equipa</w:t>
            </w:r>
          </w:p>
        </w:tc>
      </w:tr>
      <w:tr>
        <w:tc>
          <w:tcPr>
            <w:tcW w:type="dxa" w:w="1200"/>
            <w:tcBorders>
              <w:top w:val="single" w:color="DDDDDD" w:sz="1"/>
              <w:left w:val="single" w:color="DDDDDD" w:sz="1"/>
              <w:bottom w:val="single" w:color="DDDDDD" w:sz="1"/>
              <w:right w:val="single" w:color="DDDDDD" w:sz="1"/>
            </w:tcBorders>
            <w:shd w:fill="E1F5EE" w:val="clear"/>
            <w:tcMar>
              <w:top w:type="dxa" w:w="80"/>
              <w:left w:type="dxa" w:w="140"/>
              <w:bottom w:type="dxa" w:w="80"/>
              <w:right w:type="dxa" w:w="140"/>
            </w:tcMar>
            <w:vAlign w:val="center"/>
          </w:tcPr>
          <w:p>
            <w:pPr>
              <w:jc w:val="left"/>
            </w:pPr>
            <w:r>
              <w:rPr>
                <w:rFonts w:ascii="Arial" w:cs="Arial" w:eastAsia="Arial" w:hAnsi="Arial"/>
                <w:b/>
                <w:bCs/>
                <w:color w:val="085041"/>
                <w:sz w:val="20"/>
                <w:szCs w:val="20"/>
              </w:rPr>
              <w:t xml:space="preserve">Fase 1</w:t>
            </w:r>
          </w:p>
        </w:tc>
        <w:tc>
          <w:tcPr>
            <w:tcW w:type="dxa" w:w="1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0–6 meses</w:t>
            </w:r>
          </w:p>
        </w:tc>
        <w:tc>
          <w:tcPr>
            <w:tcW w:type="dxa" w:w="30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M1 Core ITSM completo, API Gateway + Auth, Multi-tenancy (RLS), Event Bus (NATS), M2 Cognitiva básica (classificação + NER), M4 Knowledge básico</w:t>
            </w:r>
          </w:p>
        </w:tc>
        <w:tc>
          <w:tcPr>
            <w:tcW w:type="dxa" w:w="23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ITSM SaaS funcional com triagem automática de tickets, KB e portal de autoatendimento. Produto vendável.</w:t>
            </w:r>
          </w:p>
        </w:tc>
        <w:tc>
          <w:tcPr>
            <w:tcW w:type="dxa" w:w="1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3–5 engenheiros</w:t>
            </w:r>
          </w:p>
        </w:tc>
      </w:tr>
      <w:tr>
        <w:tc>
          <w:tcPr>
            <w:tcW w:type="dxa" w:w="1200"/>
            <w:tcBorders>
              <w:top w:val="single" w:color="DDDDDD" w:sz="1"/>
              <w:left w:val="single" w:color="DDDDDD" w:sz="1"/>
              <w:bottom w:val="single" w:color="DDDDDD" w:sz="1"/>
              <w:right w:val="single" w:color="DDDDDD" w:sz="1"/>
            </w:tcBorders>
            <w:shd w:fill="EEEDFE" w:val="clear"/>
            <w:tcMar>
              <w:top w:type="dxa" w:w="80"/>
              <w:left w:type="dxa" w:w="140"/>
              <w:bottom w:type="dxa" w:w="80"/>
              <w:right w:type="dxa" w:w="140"/>
            </w:tcMar>
            <w:vAlign w:val="center"/>
          </w:tcPr>
          <w:p>
            <w:pPr>
              <w:jc w:val="left"/>
            </w:pPr>
            <w:r>
              <w:rPr>
                <w:rFonts w:ascii="Arial" w:cs="Arial" w:eastAsia="Arial" w:hAnsi="Arial"/>
                <w:b/>
                <w:bCs/>
                <w:color w:val="3C3489"/>
                <w:sz w:val="20"/>
                <w:szCs w:val="20"/>
              </w:rPr>
              <w:t xml:space="preserve">Fase 2</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6–12 meses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M3 Automação e auto-cura, M6 Workforce Insights, M9 Dashboards executivos, M10 Auditoria, M11 Monitoring (conectores), M13 Hub Integração (Jira, Azure DevOps, Datadog)</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Plataforma com auto-cura de incidentes, dashboards em tempo real e integração com stack existente do cliente. Diferenciação face a Jira Service Mgmt.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5–8 engenheiros</w:t>
            </w:r>
          </w:p>
        </w:tc>
      </w:tr>
      <w:tr>
        <w:tc>
          <w:tcPr>
            <w:tcW w:type="dxa" w:w="1200"/>
            <w:tcBorders>
              <w:top w:val="single" w:color="DDDDDD" w:sz="1"/>
              <w:left w:val="single" w:color="DDDDDD" w:sz="1"/>
              <w:bottom w:val="single" w:color="DDDDDD" w:sz="1"/>
              <w:right w:val="single" w:color="DDDDDD" w:sz="1"/>
            </w:tcBorders>
            <w:shd w:fill="FAEEDA" w:val="clear"/>
            <w:tcMar>
              <w:top w:type="dxa" w:w="80"/>
              <w:left w:type="dxa" w:w="140"/>
              <w:bottom w:type="dxa" w:w="80"/>
              <w:right w:type="dxa" w:w="140"/>
            </w:tcMar>
            <w:vAlign w:val="center"/>
          </w:tcPr>
          <w:p>
            <w:pPr>
              <w:jc w:val="left"/>
            </w:pPr>
            <w:r>
              <w:rPr>
                <w:rFonts w:ascii="Arial" w:cs="Arial" w:eastAsia="Arial" w:hAnsi="Arial"/>
                <w:b/>
                <w:bCs/>
                <w:color w:val="633806"/>
                <w:sz w:val="20"/>
                <w:szCs w:val="20"/>
              </w:rPr>
              <w:t xml:space="preserve">Fase 3</w:t>
            </w:r>
          </w:p>
        </w:tc>
        <w:tc>
          <w:tcPr>
            <w:tcW w:type="dxa" w:w="1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12–20 meses</w:t>
            </w:r>
          </w:p>
        </w:tc>
        <w:tc>
          <w:tcPr>
            <w:tcW w:type="dxa" w:w="30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M5 IA Preditiva, M7 Business Insights, M8 Skills / Maturidade, M14 TrustOps, M15 Gamificação, M16 Gestão de Capacidade, M17 ITFM</w:t>
            </w:r>
          </w:p>
        </w:tc>
        <w:tc>
          <w:tcPr>
            <w:tcW w:type="dxa" w:w="23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Plataforma enterprise completa com previsão de falhas, gestão de competências, controlo financeiro de TI e governança de IA. Segmento enterprise/regulated.</w:t>
            </w:r>
          </w:p>
        </w:tc>
        <w:tc>
          <w:tcPr>
            <w:tcW w:type="dxa" w:w="1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8–12 engenheiros</w:t>
            </w:r>
          </w:p>
        </w:tc>
      </w:tr>
      <w:tr>
        <w:tc>
          <w:tcPr>
            <w:tcW w:type="dxa" w:w="1200"/>
            <w:tcBorders>
              <w:top w:val="single" w:color="DDDDDD" w:sz="1"/>
              <w:left w:val="single" w:color="DDDDDD" w:sz="1"/>
              <w:bottom w:val="single" w:color="DDDDDD" w:sz="1"/>
              <w:right w:val="single" w:color="DDDDDD" w:sz="1"/>
            </w:tcBorders>
            <w:shd w:fill="FAECE7" w:val="clear"/>
            <w:tcMar>
              <w:top w:type="dxa" w:w="80"/>
              <w:left w:type="dxa" w:w="140"/>
              <w:bottom w:type="dxa" w:w="80"/>
              <w:right w:type="dxa" w:w="140"/>
            </w:tcMar>
            <w:vAlign w:val="center"/>
          </w:tcPr>
          <w:p>
            <w:pPr>
              <w:jc w:val="left"/>
            </w:pPr>
            <w:r>
              <w:rPr>
                <w:rFonts w:ascii="Arial" w:cs="Arial" w:eastAsia="Arial" w:hAnsi="Arial"/>
                <w:b/>
                <w:bCs/>
                <w:color w:val="712B13"/>
                <w:sz w:val="20"/>
                <w:szCs w:val="20"/>
              </w:rPr>
              <w:t xml:space="preserve">Fase 4</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20+ meses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M12 Oracle SR, M18 Propostas IA, M19 Win Prediction, M20 Rotas de Campo, M21/M22 (a especificar — validar procura antes de construir)</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Ecossistema completo. Módulos comerciais e de campo para MSPs e empresas com técnicos de campo. Validar product-market fit antes de investir.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12+ engenheiros</w:t>
            </w:r>
          </w:p>
        </w:tc>
      </w:tr>
    </w:tbl>
    <w:p>
      <w:pPr>
        <w:spacing w:before="0" w:after="160"/>
      </w:pPr>
      <w:r>
        <w:t xml:space="preserve"/>
      </w:r>
    </w:p>
    <w:p>
      <w:pPr>
        <w:pStyle w:val="Heading2"/>
        <w:spacing w:before="280" w:after="120"/>
      </w:pPr>
      <w:r>
        <w:rPr>
          <w:rFonts w:ascii="Arial" w:cs="Arial" w:eastAsia="Arial" w:hAnsi="Arial"/>
          <w:b/>
          <w:bCs/>
          <w:color w:val="185FA5"/>
          <w:sz w:val="28"/>
          <w:szCs w:val="28"/>
        </w:rPr>
        <w:t xml:space="preserve">5.1 Critérios de entrada e saída por fase</w:t>
      </w:r>
    </w:p>
    <w:p>
      <w:pPr>
        <w:pStyle w:val="Heading3"/>
        <w:spacing w:before="200" w:after="80"/>
      </w:pPr>
      <w:r>
        <w:rPr>
          <w:rFonts w:ascii="Arial" w:cs="Arial" w:eastAsia="Arial" w:hAnsi="Arial"/>
          <w:b/>
          <w:bCs/>
          <w:color w:val="185FA5"/>
          <w:sz w:val="24"/>
          <w:szCs w:val="24"/>
        </w:rPr>
        <w:t xml:space="preserve">Fase 1 → Fase 2</w:t>
      </w:r>
    </w:p>
    <w:p>
      <w:pPr>
        <w:pStyle w:val="ListParagraph"/>
        <w:numPr>
          <w:ilvl w:val="0"/>
          <w:numId w:val="2"/>
        </w:numPr>
        <w:spacing w:before="40" w:after="40"/>
      </w:pPr>
      <w:r>
        <w:rPr>
          <w:rFonts w:ascii="Arial" w:cs="Arial" w:eastAsia="Arial" w:hAnsi="Arial"/>
          <w:color w:val="333333"/>
          <w:sz w:val="20"/>
          <w:szCs w:val="20"/>
        </w:rPr>
        <w:t xml:space="preserve">M1 estável com uptime ≥ 99.5% durante 30 dias consecutivos</w:t>
      </w:r>
    </w:p>
    <w:p>
      <w:pPr>
        <w:pStyle w:val="ListParagraph"/>
        <w:numPr>
          <w:ilvl w:val="0"/>
          <w:numId w:val="2"/>
        </w:numPr>
        <w:spacing w:before="40" w:after="40"/>
      </w:pPr>
      <w:r>
        <w:rPr>
          <w:rFonts w:ascii="Arial" w:cs="Arial" w:eastAsia="Arial" w:hAnsi="Arial"/>
          <w:color w:val="333333"/>
          <w:sz w:val="20"/>
          <w:szCs w:val="20"/>
        </w:rPr>
        <w:t xml:space="preserve">Multi-tenancy validado: testes de isolamento de dados entre tenants sem falhas</w:t>
      </w:r>
    </w:p>
    <w:p>
      <w:pPr>
        <w:pStyle w:val="ListParagraph"/>
        <w:numPr>
          <w:ilvl w:val="0"/>
          <w:numId w:val="2"/>
        </w:numPr>
        <w:spacing w:before="40" w:after="40"/>
      </w:pPr>
      <w:r>
        <w:rPr>
          <w:rFonts w:ascii="Arial" w:cs="Arial" w:eastAsia="Arial" w:hAnsi="Arial"/>
          <w:color w:val="333333"/>
          <w:sz w:val="20"/>
          <w:szCs w:val="20"/>
        </w:rPr>
        <w:t xml:space="preserve">M2 com accuracy de classificação ≥ 60% no tenant piloto</w:t>
      </w:r>
    </w:p>
    <w:p>
      <w:pPr>
        <w:pStyle w:val="ListParagraph"/>
        <w:numPr>
          <w:ilvl w:val="0"/>
          <w:numId w:val="2"/>
        </w:numPr>
        <w:spacing w:before="40" w:after="40"/>
      </w:pPr>
      <w:r>
        <w:rPr>
          <w:rFonts w:ascii="Arial" w:cs="Arial" w:eastAsia="Arial" w:hAnsi="Arial"/>
          <w:color w:val="333333"/>
          <w:sz w:val="20"/>
          <w:szCs w:val="20"/>
        </w:rPr>
        <w:t xml:space="preserve">Pelo menos 1 cliente pagante activo na plataforma</w:t>
      </w:r>
    </w:p>
    <w:p>
      <w:pPr>
        <w:spacing w:before="0" w:after="80"/>
      </w:pPr>
      <w:r>
        <w:t xml:space="preserve"/>
      </w:r>
    </w:p>
    <w:p>
      <w:pPr>
        <w:pStyle w:val="Heading3"/>
        <w:spacing w:before="200" w:after="80"/>
      </w:pPr>
      <w:r>
        <w:rPr>
          <w:rFonts w:ascii="Arial" w:cs="Arial" w:eastAsia="Arial" w:hAnsi="Arial"/>
          <w:b/>
          <w:bCs/>
          <w:color w:val="185FA5"/>
          <w:sz w:val="24"/>
          <w:szCs w:val="24"/>
        </w:rPr>
        <w:t xml:space="preserve">Fase 2 → Fase 3</w:t>
      </w:r>
    </w:p>
    <w:p>
      <w:pPr>
        <w:pStyle w:val="ListParagraph"/>
        <w:numPr>
          <w:ilvl w:val="0"/>
          <w:numId w:val="2"/>
        </w:numPr>
        <w:spacing w:before="40" w:after="40"/>
      </w:pPr>
      <w:r>
        <w:rPr>
          <w:rFonts w:ascii="Arial" w:cs="Arial" w:eastAsia="Arial" w:hAnsi="Arial"/>
          <w:color w:val="333333"/>
          <w:sz w:val="20"/>
          <w:szCs w:val="20"/>
        </w:rPr>
        <w:t xml:space="preserve">M3 com taxa de sucesso de automação ≥ 80% no tenant piloto</w:t>
      </w:r>
    </w:p>
    <w:p>
      <w:pPr>
        <w:pStyle w:val="ListParagraph"/>
        <w:numPr>
          <w:ilvl w:val="0"/>
          <w:numId w:val="2"/>
        </w:numPr>
        <w:spacing w:before="40" w:after="40"/>
      </w:pPr>
      <w:r>
        <w:rPr>
          <w:rFonts w:ascii="Arial" w:cs="Arial" w:eastAsia="Arial" w:hAnsi="Arial"/>
          <w:color w:val="333333"/>
          <w:sz w:val="20"/>
          <w:szCs w:val="20"/>
        </w:rPr>
        <w:t xml:space="preserve">M9 com adopção executiva ≥ 3 sessões/semana por cliente</w:t>
      </w:r>
    </w:p>
    <w:p>
      <w:pPr>
        <w:pStyle w:val="ListParagraph"/>
        <w:numPr>
          <w:ilvl w:val="0"/>
          <w:numId w:val="2"/>
        </w:numPr>
        <w:spacing w:before="40" w:after="40"/>
      </w:pPr>
      <w:r>
        <w:rPr>
          <w:rFonts w:ascii="Arial" w:cs="Arial" w:eastAsia="Arial" w:hAnsi="Arial"/>
          <w:color w:val="333333"/>
          <w:sz w:val="20"/>
          <w:szCs w:val="20"/>
        </w:rPr>
        <w:t xml:space="preserve">M13 com ≥ 2 integrações externas em produção por cliente médio</w:t>
      </w:r>
    </w:p>
    <w:p>
      <w:pPr>
        <w:pStyle w:val="ListParagraph"/>
        <w:numPr>
          <w:ilvl w:val="0"/>
          <w:numId w:val="2"/>
        </w:numPr>
        <w:spacing w:before="40" w:after="40"/>
      </w:pPr>
      <w:r>
        <w:rPr>
          <w:rFonts w:ascii="Arial" w:cs="Arial" w:eastAsia="Arial" w:hAnsi="Arial"/>
          <w:color w:val="333333"/>
          <w:sz w:val="20"/>
          <w:szCs w:val="20"/>
        </w:rPr>
        <w:t xml:space="preserve">Pelo menos 5 clientes pagantes activos</w:t>
      </w:r>
    </w:p>
    <w:p>
      <w:pPr>
        <w:spacing w:before="0" w:after="80"/>
      </w:pPr>
      <w:r>
        <w:t xml:space="preserve"/>
      </w:r>
    </w:p>
    <w:p>
      <w:pPr>
        <w:pStyle w:val="Heading3"/>
        <w:spacing w:before="200" w:after="80"/>
      </w:pPr>
      <w:r>
        <w:rPr>
          <w:rFonts w:ascii="Arial" w:cs="Arial" w:eastAsia="Arial" w:hAnsi="Arial"/>
          <w:b/>
          <w:bCs/>
          <w:color w:val="185FA5"/>
          <w:sz w:val="24"/>
          <w:szCs w:val="24"/>
        </w:rPr>
        <w:t xml:space="preserve">Fase 3 → Fase 4</w:t>
      </w:r>
    </w:p>
    <w:p>
      <w:pPr>
        <w:pStyle w:val="ListParagraph"/>
        <w:numPr>
          <w:ilvl w:val="0"/>
          <w:numId w:val="2"/>
        </w:numPr>
        <w:spacing w:before="40" w:after="40"/>
      </w:pPr>
      <w:r>
        <w:rPr>
          <w:rFonts w:ascii="Arial" w:cs="Arial" w:eastAsia="Arial" w:hAnsi="Arial"/>
          <w:color w:val="333333"/>
          <w:sz w:val="20"/>
          <w:szCs w:val="20"/>
        </w:rPr>
        <w:t xml:space="preserve">M5 com accuracy de previsão ≥ 70% e lead time ≥ 24h antes do evento</w:t>
      </w:r>
    </w:p>
    <w:p>
      <w:pPr>
        <w:pStyle w:val="ListParagraph"/>
        <w:numPr>
          <w:ilvl w:val="0"/>
          <w:numId w:val="2"/>
        </w:numPr>
        <w:spacing w:before="40" w:after="40"/>
      </w:pPr>
      <w:r>
        <w:rPr>
          <w:rFonts w:ascii="Arial" w:cs="Arial" w:eastAsia="Arial" w:hAnsi="Arial"/>
          <w:color w:val="333333"/>
          <w:sz w:val="20"/>
          <w:szCs w:val="20"/>
        </w:rPr>
        <w:t xml:space="preserve">M17 adoptado por ≥ 50% dos clientes enterprise</w:t>
      </w:r>
    </w:p>
    <w:p>
      <w:pPr>
        <w:pStyle w:val="ListParagraph"/>
        <w:numPr>
          <w:ilvl w:val="0"/>
          <w:numId w:val="2"/>
        </w:numPr>
        <w:spacing w:before="40" w:after="40"/>
      </w:pPr>
      <w:r>
        <w:rPr>
          <w:rFonts w:ascii="Arial" w:cs="Arial" w:eastAsia="Arial" w:hAnsi="Arial"/>
          <w:color w:val="333333"/>
          <w:sz w:val="20"/>
          <w:szCs w:val="20"/>
        </w:rPr>
        <w:t xml:space="preserve">M21 e M22 especificados antes de iniciar desenvolvimento de M18/M19</w:t>
      </w:r>
    </w:p>
    <w:p>
      <w:pPr>
        <w:pStyle w:val="ListParagraph"/>
        <w:numPr>
          <w:ilvl w:val="0"/>
          <w:numId w:val="2"/>
        </w:numPr>
        <w:spacing w:before="40" w:after="40"/>
      </w:pPr>
      <w:r>
        <w:rPr>
          <w:rFonts w:ascii="Arial" w:cs="Arial" w:eastAsia="Arial" w:hAnsi="Arial"/>
          <w:color w:val="333333"/>
          <w:sz w:val="20"/>
          <w:szCs w:val="20"/>
        </w:rPr>
        <w:t xml:space="preserve">Validação de product-market fit para módulos comerciais (M18/M19/M20) com entrevistas a ≥ 10 potenciais clientes</w:t>
      </w:r>
    </w:p>
    <w:p>
      <w:r>
        <w:br w:type="page"/>
      </w:r>
    </w:p>
    <w:p>
      <w:pPr>
        <w:pStyle w:val="Heading1"/>
        <w:spacing w:before="360" w:after="160"/>
      </w:pPr>
      <w:r>
        <w:rPr>
          <w:rFonts w:ascii="Arial" w:cs="Arial" w:eastAsia="Arial" w:hAnsi="Arial"/>
          <w:b/>
          <w:bCs/>
          <w:color w:val="0D3B6E"/>
          <w:sz w:val="36"/>
          <w:szCs w:val="36"/>
        </w:rPr>
        <w:t xml:space="preserve">6. Especificação Detalhada dos Módulos</w:t>
      </w:r>
    </w:p>
    <w:p>
      <w:pPr>
        <w:spacing w:before="60" w:after="100"/>
        <w:jc w:val="left"/>
      </w:pPr>
      <w:r>
        <w:rPr>
          <w:rFonts w:ascii="Arial" w:cs="Arial" w:eastAsia="Arial" w:hAnsi="Arial"/>
          <w:color w:val="333333"/>
          <w:sz w:val="20"/>
          <w:szCs w:val="20"/>
        </w:rPr>
        <w:t xml:space="preserve">Esta secção detalha os módulos com maior impacto na arquitectura central (Fases 1 e 2) com as actualizações desta versão incorporadas. Os módulos de Fase 3 e 4 mantêm a especificação da versão anterior, actualizada apenas nos campos afectados pelos gaps transversais (tenant_id, Event Bus, remoção de dependências de M21/M22).</w:t>
      </w:r>
    </w:p>
    <w:p>
      <w:pPr>
        <w:spacing w:before="0" w:after="120"/>
      </w:pPr>
      <w:r>
        <w:t xml:space="preserve"/>
      </w:r>
    </w:p>
    <w:p>
      <w:pPr>
        <w:pBdr>
          <w:bottom w:val="single" w:color="185FA5" w:sz="6" w:space="1"/>
        </w:pBdr>
        <w:spacing w:before="120" w:after="120"/>
      </w:pPr>
      <w:r>
        <w:t xml:space="preserve"/>
      </w:r>
    </w:p>
    <w:p>
      <w:pPr>
        <w:pStyle w:val="Heading2"/>
        <w:spacing w:before="280" w:after="80"/>
      </w:pPr>
      <w:r>
        <w:rPr>
          <w:rFonts w:ascii="Arial" w:cs="Arial" w:eastAsia="Arial" w:hAnsi="Arial"/>
          <w:b/>
          <w:bCs/>
          <w:color w:val="185FA5"/>
          <w:sz w:val="28"/>
          <w:szCs w:val="28"/>
        </w:rPr>
        <w:t xml:space="preserve">M1: Plataforma Core SaaS ITSM  </w:t>
      </w:r>
      <w:r>
        <w:rPr>
          <w:rFonts w:ascii="Arial" w:cs="Arial" w:eastAsia="Arial" w:hAnsi="Arial"/>
          <w:b w:val="false"/>
          <w:bCs w:val="false"/>
          <w:color w:val="888888"/>
          <w:sz w:val="20"/>
          <w:szCs w:val="20"/>
        </w:rPr>
        <w:t xml:space="preserve">[Core]</w:t>
      </w:r>
    </w:p>
    <w:p>
      <w:pPr>
        <w:spacing w:before="60" w:after="100"/>
        <w:jc w:val="left"/>
      </w:pPr>
      <w:r>
        <w:rPr>
          <w:rFonts w:ascii="Arial" w:cs="Arial" w:eastAsia="Arial" w:hAnsi="Arial"/>
          <w:color w:val="888888"/>
          <w:sz w:val="18"/>
          <w:szCs w:val="18"/>
        </w:rPr>
        <w:t xml:space="preserve">Fase de entrega: Fase 1  |  Estado: Detalhado — actualizado v3</w:t>
      </w:r>
    </w:p>
    <w:p>
      <w:pPr>
        <w:spacing w:before="0" w:after="60"/>
      </w:pPr>
      <w:r>
        <w:t xml:space="preserve"/>
      </w:r>
    </w:p>
    <w:p>
      <w:pPr>
        <w:pStyle w:val="Heading3"/>
        <w:spacing w:before="200" w:after="80"/>
      </w:pPr>
      <w:r>
        <w:rPr>
          <w:rFonts w:ascii="Arial" w:cs="Arial" w:eastAsia="Arial" w:hAnsi="Arial"/>
          <w:b/>
          <w:bCs/>
          <w:color w:val="185FA5"/>
          <w:sz w:val="24"/>
          <w:szCs w:val="24"/>
        </w:rPr>
        <w:t xml:space="preserve">Objectivo principal</w:t>
      </w:r>
    </w:p>
    <w:p>
      <w:pPr>
        <w:spacing w:before="60" w:after="100"/>
        <w:jc w:val="left"/>
      </w:pPr>
      <w:r>
        <w:rPr>
          <w:rFonts w:ascii="Arial" w:cs="Arial" w:eastAsia="Arial" w:hAnsi="Arial"/>
          <w:color w:val="333333"/>
          <w:sz w:val="20"/>
          <w:szCs w:val="20"/>
        </w:rPr>
        <w:t xml:space="preserve">Núcleo central que gere todos os fluxos ITIL v4 (Incidentes, Problemas, Mudanças, Requisições). Fundação transacional e de dados para todo o ecossistema. A partir desta versão, inclui suporte nativo a multi-tenancy via tenant_id e Row-Level Security, e publica eventos no Event Bus para desacoplamento dos módulos dependentes.</w:t>
      </w:r>
    </w:p>
    <w:p>
      <w:pPr>
        <w:pStyle w:val="Heading3"/>
        <w:spacing w:before="200" w:after="80"/>
      </w:pPr>
      <w:r>
        <w:rPr>
          <w:rFonts w:ascii="Arial" w:cs="Arial" w:eastAsia="Arial" w:hAnsi="Arial"/>
          <w:b/>
          <w:bCs/>
          <w:color w:val="185FA5"/>
          <w:sz w:val="24"/>
          <w:szCs w:val="24"/>
        </w:rPr>
        <w:t xml:space="preserve">Funcionalidades MVP</w:t>
      </w:r>
    </w:p>
    <w:p>
      <w:pPr>
        <w:pStyle w:val="ListParagraph"/>
        <w:numPr>
          <w:ilvl w:val="0"/>
          <w:numId w:val="2"/>
        </w:numPr>
        <w:spacing w:before="40" w:after="40"/>
      </w:pPr>
      <w:r>
        <w:rPr>
          <w:rFonts w:ascii="Arial" w:cs="Arial" w:eastAsia="Arial" w:hAnsi="Arial"/>
          <w:color w:val="333333"/>
          <w:sz w:val="20"/>
          <w:szCs w:val="20"/>
        </w:rPr>
        <w:t xml:space="preserve">Gestão de Incidentes: registo manual e via portal, ciclo de vida completo (Novo → Resolvido → Fechado), atribuição a grupos e analistas, histórico de actividades (IncidentLog)</w:t>
      </w:r>
    </w:p>
    <w:p>
      <w:pPr>
        <w:pStyle w:val="ListParagraph"/>
        <w:numPr>
          <w:ilvl w:val="0"/>
          <w:numId w:val="2"/>
        </w:numPr>
        <w:spacing w:before="40" w:after="40"/>
      </w:pPr>
      <w:r>
        <w:rPr>
          <w:rFonts w:ascii="Arial" w:cs="Arial" w:eastAsia="Arial" w:hAnsi="Arial"/>
          <w:color w:val="333333"/>
          <w:sz w:val="20"/>
          <w:szCs w:val="20"/>
        </w:rPr>
        <w:t xml:space="preserve">Gestão de Requisições de Serviço: catálogo com formulários dinâmicos (form_definition_json), ciclo de vida com aprovação opcional</w:t>
      </w:r>
    </w:p>
    <w:p>
      <w:pPr>
        <w:pStyle w:val="ListParagraph"/>
        <w:numPr>
          <w:ilvl w:val="0"/>
          <w:numId w:val="2"/>
        </w:numPr>
        <w:spacing w:before="40" w:after="40"/>
      </w:pPr>
      <w:r>
        <w:rPr>
          <w:rFonts w:ascii="Arial" w:cs="Arial" w:eastAsia="Arial" w:hAnsi="Arial"/>
          <w:color w:val="333333"/>
          <w:sz w:val="20"/>
          <w:szCs w:val="20"/>
        </w:rPr>
        <w:t xml:space="preserve">Portal de Autoatendimento: autenticação, abertura e consulta de tickets, upload de anexos. SSE para notificações em tempo real</w:t>
      </w:r>
    </w:p>
    <w:p>
      <w:pPr>
        <w:pStyle w:val="ListParagraph"/>
        <w:numPr>
          <w:ilvl w:val="0"/>
          <w:numId w:val="2"/>
        </w:numPr>
        <w:spacing w:before="40" w:after="40"/>
      </w:pPr>
      <w:r>
        <w:rPr>
          <w:rFonts w:ascii="Arial" w:cs="Arial" w:eastAsia="Arial" w:hAnsi="Arial"/>
          <w:color w:val="333333"/>
          <w:sz w:val="20"/>
          <w:szCs w:val="20"/>
        </w:rPr>
        <w:t xml:space="preserve">CMDB Básico: registo manual de CIs, tipos, atributos custom (JSON), relações entre CIs, flag source para distinguir registos manuais de auto-discovery</w:t>
      </w:r>
    </w:p>
    <w:p>
      <w:pPr>
        <w:pStyle w:val="ListParagraph"/>
        <w:numPr>
          <w:ilvl w:val="0"/>
          <w:numId w:val="2"/>
        </w:numPr>
        <w:spacing w:before="40" w:after="40"/>
      </w:pPr>
      <w:r>
        <w:rPr>
          <w:rFonts w:ascii="Arial" w:cs="Arial" w:eastAsia="Arial" w:hAnsi="Arial"/>
          <w:color w:val="333333"/>
          <w:sz w:val="20"/>
          <w:szCs w:val="20"/>
        </w:rPr>
        <w:t xml:space="preserve">Utilizadores e Permissões (RBAC): perfis (EndUser, Analyst_N1, Analyst_N2, ServiceManager), grupos de suporte, tabelas de junção UserRole e RolePermission</w:t>
      </w:r>
    </w:p>
    <w:p>
      <w:pPr>
        <w:pStyle w:val="ListParagraph"/>
        <w:numPr>
          <w:ilvl w:val="0"/>
          <w:numId w:val="2"/>
        </w:numPr>
        <w:spacing w:before="40" w:after="40"/>
      </w:pPr>
      <w:r>
        <w:rPr>
          <w:rFonts w:ascii="Arial" w:cs="Arial" w:eastAsia="Arial" w:hAnsi="Arial"/>
          <w:color w:val="333333"/>
          <w:sz w:val="20"/>
          <w:szCs w:val="20"/>
        </w:rPr>
        <w:t xml:space="preserve">Multi-tenancy: campo tenant_id em todas as entidades, Row-Level Security no PostgreSQL, middleware de resolução de tenant no API Gateway</w:t>
      </w:r>
    </w:p>
    <w:p>
      <w:pPr>
        <w:pStyle w:val="ListParagraph"/>
        <w:numPr>
          <w:ilvl w:val="0"/>
          <w:numId w:val="2"/>
        </w:numPr>
        <w:spacing w:before="40" w:after="40"/>
      </w:pPr>
      <w:r>
        <w:rPr>
          <w:rFonts w:ascii="Arial" w:cs="Arial" w:eastAsia="Arial" w:hAnsi="Arial"/>
          <w:color w:val="333333"/>
          <w:sz w:val="20"/>
          <w:szCs w:val="20"/>
        </w:rPr>
        <w:t xml:space="preserve">Publicação de eventos no Event Bus: ticket.created, ticket.updated, ticket.closed, ci.updated, user.created</w:t>
      </w:r>
    </w:p>
    <w:p>
      <w:pPr>
        <w:pStyle w:val="Heading3"/>
        <w:spacing w:before="200" w:after="80"/>
      </w:pPr>
      <w:r>
        <w:rPr>
          <w:rFonts w:ascii="Arial" w:cs="Arial" w:eastAsia="Arial" w:hAnsi="Arial"/>
          <w:b/>
          <w:bCs/>
          <w:color w:val="185FA5"/>
          <w:sz w:val="24"/>
          <w:szCs w:val="24"/>
        </w:rPr>
        <w:t xml:space="preserve">Stack tecnológica recomendada</w:t>
      </w:r>
    </w:p>
    <w:p>
      <w:pPr>
        <w:pStyle w:val="ListParagraph"/>
        <w:numPr>
          <w:ilvl w:val="0"/>
          <w:numId w:val="2"/>
        </w:numPr>
        <w:spacing w:before="40" w:after="40"/>
      </w:pPr>
      <w:r>
        <w:rPr>
          <w:rFonts w:ascii="Arial" w:cs="Arial" w:eastAsia="Arial" w:hAnsi="Arial"/>
          <w:color w:val="333333"/>
          <w:sz w:val="20"/>
          <w:szCs w:val="20"/>
        </w:rPr>
        <w:t xml:space="preserve">Backend: Python/FastAPI (recomendado) ou Node.js/Express — escolher uma única linguagem para Fase 1</w:t>
      </w:r>
    </w:p>
    <w:p>
      <w:pPr>
        <w:pStyle w:val="ListParagraph"/>
        <w:numPr>
          <w:ilvl w:val="0"/>
          <w:numId w:val="2"/>
        </w:numPr>
        <w:spacing w:before="40" w:after="40"/>
      </w:pPr>
      <w:r>
        <w:rPr>
          <w:rFonts w:ascii="Arial" w:cs="Arial" w:eastAsia="Arial" w:hAnsi="Arial"/>
          <w:color w:val="333333"/>
          <w:sz w:val="20"/>
          <w:szCs w:val="20"/>
        </w:rPr>
        <w:t xml:space="preserve">Base de dados: PostgreSQL com extensão pgvector (preparação para M2/M4) e Row-Level Security activado</w:t>
      </w:r>
    </w:p>
    <w:p>
      <w:pPr>
        <w:pStyle w:val="ListParagraph"/>
        <w:numPr>
          <w:ilvl w:val="0"/>
          <w:numId w:val="2"/>
        </w:numPr>
        <w:spacing w:before="40" w:after="40"/>
      </w:pPr>
      <w:r>
        <w:rPr>
          <w:rFonts w:ascii="Arial" w:cs="Arial" w:eastAsia="Arial" w:hAnsi="Arial"/>
          <w:color w:val="333333"/>
          <w:sz w:val="20"/>
          <w:szCs w:val="20"/>
        </w:rPr>
        <w:t xml:space="preserve">Frontend: React com TypeScript; Server-Sent Events para notificações em tempo real</w:t>
      </w:r>
    </w:p>
    <w:p>
      <w:pPr>
        <w:pStyle w:val="ListParagraph"/>
        <w:numPr>
          <w:ilvl w:val="0"/>
          <w:numId w:val="2"/>
        </w:numPr>
        <w:spacing w:before="40" w:after="40"/>
      </w:pPr>
      <w:r>
        <w:rPr>
          <w:rFonts w:ascii="Arial" w:cs="Arial" w:eastAsia="Arial" w:hAnsi="Arial"/>
          <w:color w:val="333333"/>
          <w:sz w:val="20"/>
          <w:szCs w:val="20"/>
        </w:rPr>
        <w:t xml:space="preserve">Event Bus: NATS JetStream para publicação de eventos de domínio</w:t>
      </w:r>
    </w:p>
    <w:p>
      <w:pPr>
        <w:pStyle w:val="ListParagraph"/>
        <w:numPr>
          <w:ilvl w:val="0"/>
          <w:numId w:val="2"/>
        </w:numPr>
        <w:spacing w:before="40" w:after="40"/>
      </w:pPr>
      <w:r>
        <w:rPr>
          <w:rFonts w:ascii="Arial" w:cs="Arial" w:eastAsia="Arial" w:hAnsi="Arial"/>
          <w:color w:val="333333"/>
          <w:sz w:val="20"/>
          <w:szCs w:val="20"/>
        </w:rPr>
        <w:t xml:space="preserve">Autenticação: OAuth2 + JWT gerido pelo API Gateway (Kong OSS ou Traefik)</w:t>
      </w:r>
    </w:p>
    <w:p>
      <w:pPr>
        <w:pStyle w:val="ListParagraph"/>
        <w:numPr>
          <w:ilvl w:val="0"/>
          <w:numId w:val="2"/>
        </w:numPr>
        <w:spacing w:before="40" w:after="40"/>
      </w:pPr>
      <w:r>
        <w:rPr>
          <w:rFonts w:ascii="Arial" w:cs="Arial" w:eastAsia="Arial" w:hAnsi="Arial"/>
          <w:color w:val="333333"/>
          <w:sz w:val="20"/>
          <w:szCs w:val="20"/>
        </w:rPr>
        <w:t xml:space="preserve">Storage de ficheiros: S3-compatible (MinIO self-hosted ou AWS S3) para anexos</w:t>
      </w:r>
    </w:p>
    <w:p>
      <w:pPr>
        <w:pStyle w:val="ListParagraph"/>
        <w:numPr>
          <w:ilvl w:val="0"/>
          <w:numId w:val="2"/>
        </w:numPr>
        <w:spacing w:before="40" w:after="40"/>
      </w:pPr>
      <w:r>
        <w:rPr>
          <w:rFonts w:ascii="Arial" w:cs="Arial" w:eastAsia="Arial" w:hAnsi="Arial"/>
          <w:color w:val="333333"/>
          <w:sz w:val="20"/>
          <w:szCs w:val="20"/>
        </w:rPr>
        <w:t xml:space="preserve">Cache: Redis para sessões e rate limiting</w:t>
      </w:r>
    </w:p>
    <w:p>
      <w:pPr>
        <w:pStyle w:val="Heading3"/>
        <w:spacing w:before="200" w:after="80"/>
      </w:pPr>
      <w:r>
        <w:rPr>
          <w:rFonts w:ascii="Arial" w:cs="Arial" w:eastAsia="Arial" w:hAnsi="Arial"/>
          <w:b/>
          <w:bCs/>
          <w:color w:val="185FA5"/>
          <w:sz w:val="24"/>
          <w:szCs w:val="24"/>
        </w:rPr>
        <w:t xml:space="preserve">Dependências</w:t>
      </w:r>
    </w:p>
    <w:p>
      <w:pPr>
        <w:spacing w:before="60" w:after="100"/>
      </w:pPr>
      <w:r>
        <w:rPr>
          <w:rFonts w:ascii="Arial" w:cs="Arial" w:eastAsia="Arial" w:hAnsi="Arial"/>
          <w:b/>
          <w:bCs/>
          <w:color w:val="333333"/>
          <w:sz w:val="20"/>
          <w:szCs w:val="20"/>
        </w:rPr>
        <w:t xml:space="preserve">Recebe de: </w:t>
      </w:r>
      <w:r>
        <w:rPr>
          <w:rFonts w:ascii="Arial" w:cs="Arial" w:eastAsia="Arial" w:hAnsi="Arial"/>
          <w:b w:val="false"/>
          <w:bCs w:val="false"/>
          <w:color w:val="333333"/>
          <w:sz w:val="20"/>
          <w:szCs w:val="20"/>
        </w:rPr>
        <w:t xml:space="preserve">Nenhuma (módulo fundação). Recebe configuração de tenant do API Gateway.</w:t>
      </w:r>
    </w:p>
    <w:p>
      <w:pPr>
        <w:spacing w:before="60" w:after="100"/>
      </w:pPr>
      <w:r>
        <w:rPr>
          <w:rFonts w:ascii="Arial" w:cs="Arial" w:eastAsia="Arial" w:hAnsi="Arial"/>
          <w:b/>
          <w:bCs/>
          <w:color w:val="333333"/>
          <w:sz w:val="20"/>
          <w:szCs w:val="20"/>
        </w:rPr>
        <w:t xml:space="preserve">Fornece para: </w:t>
      </w:r>
      <w:r>
        <w:rPr>
          <w:rFonts w:ascii="Arial" w:cs="Arial" w:eastAsia="Arial" w:hAnsi="Arial"/>
          <w:b w:val="false"/>
          <w:bCs w:val="false"/>
          <w:color w:val="333333"/>
          <w:sz w:val="20"/>
          <w:szCs w:val="20"/>
        </w:rPr>
        <w:t xml:space="preserve">Todos os módulos dependem do M1 como fonte de dados de tickets, utilizadores, CIs e serviços. M2, M3, M4, M5, M6, M7, M8, M10, M11, M12, M13, M15, M16, M17, M18, M20.</w:t>
      </w:r>
    </w:p>
    <w:p>
      <w:pPr>
        <w:pStyle w:val="Heading3"/>
        <w:spacing w:before="200" w:after="80"/>
      </w:pPr>
      <w:r>
        <w:rPr>
          <w:rFonts w:ascii="Arial" w:cs="Arial" w:eastAsia="Arial" w:hAnsi="Arial"/>
          <w:b/>
          <w:bCs/>
          <w:color w:val="185FA5"/>
          <w:sz w:val="24"/>
          <w:szCs w:val="24"/>
        </w:rPr>
        <w:t xml:space="preserve">Métricas de sucesso</w:t>
      </w:r>
    </w:p>
    <w:p>
      <w:pPr>
        <w:pStyle w:val="ListParagraph"/>
        <w:numPr>
          <w:ilvl w:val="0"/>
          <w:numId w:val="2"/>
        </w:numPr>
        <w:spacing w:before="40" w:after="40"/>
      </w:pPr>
      <w:r>
        <w:rPr>
          <w:rFonts w:ascii="Arial" w:cs="Arial" w:eastAsia="Arial" w:hAnsi="Arial"/>
          <w:color w:val="333333"/>
          <w:sz w:val="20"/>
          <w:szCs w:val="20"/>
        </w:rPr>
        <w:t xml:space="preserve">Funcionalidade básica: registo, atribuição e encerramento de incidentes e requisições</w:t>
      </w:r>
    </w:p>
    <w:p>
      <w:pPr>
        <w:pStyle w:val="ListParagraph"/>
        <w:numPr>
          <w:ilvl w:val="0"/>
          <w:numId w:val="2"/>
        </w:numPr>
        <w:spacing w:before="40" w:after="40"/>
      </w:pPr>
      <w:r>
        <w:rPr>
          <w:rFonts w:ascii="Arial" w:cs="Arial" w:eastAsia="Arial" w:hAnsi="Arial"/>
          <w:color w:val="333333"/>
          <w:sz w:val="20"/>
          <w:szCs w:val="20"/>
        </w:rPr>
        <w:t xml:space="preserve">Portal de autoatendimento disponível com uptime ≥ 99.5% (Fase 1)</w:t>
      </w:r>
    </w:p>
    <w:p>
      <w:pPr>
        <w:pStyle w:val="ListParagraph"/>
        <w:numPr>
          <w:ilvl w:val="0"/>
          <w:numId w:val="2"/>
        </w:numPr>
        <w:spacing w:before="40" w:after="40"/>
      </w:pPr>
      <w:r>
        <w:rPr>
          <w:rFonts w:ascii="Arial" w:cs="Arial" w:eastAsia="Arial" w:hAnsi="Arial"/>
          <w:color w:val="333333"/>
          <w:sz w:val="20"/>
          <w:szCs w:val="20"/>
        </w:rPr>
        <w:t xml:space="preserve">Integridade do CMDB básico: criação e relação de CIs funcionais</w:t>
      </w:r>
    </w:p>
    <w:p>
      <w:pPr>
        <w:pStyle w:val="ListParagraph"/>
        <w:numPr>
          <w:ilvl w:val="0"/>
          <w:numId w:val="2"/>
        </w:numPr>
        <w:spacing w:before="40" w:after="40"/>
      </w:pPr>
      <w:r>
        <w:rPr>
          <w:rFonts w:ascii="Arial" w:cs="Arial" w:eastAsia="Arial" w:hAnsi="Arial"/>
          <w:color w:val="333333"/>
          <w:sz w:val="20"/>
          <w:szCs w:val="20"/>
        </w:rPr>
        <w:t xml:space="preserve">Tempo de resposta da API &lt; 200ms para operações de leitura</w:t>
      </w:r>
    </w:p>
    <w:p>
      <w:pPr>
        <w:pStyle w:val="ListParagraph"/>
        <w:numPr>
          <w:ilvl w:val="0"/>
          <w:numId w:val="2"/>
        </w:numPr>
        <w:spacing w:before="40" w:after="40"/>
      </w:pPr>
      <w:r>
        <w:rPr>
          <w:rFonts w:ascii="Arial" w:cs="Arial" w:eastAsia="Arial" w:hAnsi="Arial"/>
          <w:color w:val="333333"/>
          <w:sz w:val="20"/>
          <w:szCs w:val="20"/>
        </w:rPr>
        <w:t xml:space="preserve">Isolamento de tenant: nenhum dado de um tenant visível noutro (teste de segurança obrigatório)</w:t>
      </w:r>
    </w:p>
    <w:p>
      <w:pPr>
        <w:pStyle w:val="ListParagraph"/>
        <w:numPr>
          <w:ilvl w:val="0"/>
          <w:numId w:val="2"/>
        </w:numPr>
        <w:spacing w:before="40" w:after="40"/>
      </w:pPr>
      <w:r>
        <w:rPr>
          <w:rFonts w:ascii="Arial" w:cs="Arial" w:eastAsia="Arial" w:hAnsi="Arial"/>
          <w:color w:val="333333"/>
          <w:sz w:val="20"/>
          <w:szCs w:val="20"/>
        </w:rPr>
        <w:t xml:space="preserve">Prontidão para IA: APIs e eventos de domínio consumíveis pelo M2 desde o primeiro dia</w:t>
      </w:r>
    </w:p>
    <w:p>
      <w:pPr>
        <w:pStyle w:val="Heading3"/>
        <w:spacing w:before="200" w:after="80"/>
      </w:pPr>
      <w:r>
        <w:rPr>
          <w:rFonts w:ascii="Arial" w:cs="Arial" w:eastAsia="Arial" w:hAnsi="Arial"/>
          <w:b/>
          <w:bCs/>
          <w:color w:val="185FA5"/>
          <w:sz w:val="24"/>
          <w:szCs w:val="24"/>
        </w:rPr>
        <w:t xml:space="preserve">Gaps identificados e ajustes nesta versão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12B13" w:sz="6"/>
              <w:left w:val="single" w:color="712B13" w:sz="1"/>
              <w:bottom w:val="single" w:color="712B13" w:sz="1"/>
              <w:right w:val="single" w:color="712B13" w:sz="1"/>
            </w:tcBorders>
            <w:shd w:fill="FAECE7" w:val="clear"/>
            <w:tcMar>
              <w:top w:type="dxa" w:w="100"/>
              <w:left w:type="dxa" w:w="160"/>
              <w:bottom w:type="dxa" w:w="100"/>
              <w:right w:type="dxa" w:w="160"/>
            </w:tcMar>
          </w:tcPr>
          <w:p>
            <w:pPr>
              <w:spacing w:before="0" w:after="60"/>
            </w:pPr>
            <w:r>
              <w:rPr>
                <w:rFonts w:ascii="Arial" w:cs="Arial" w:eastAsia="Arial" w:hAnsi="Arial"/>
                <w:b/>
                <w:bCs/>
                <w:color w:val="712B13"/>
                <w:sz w:val="18"/>
                <w:szCs w:val="18"/>
              </w:rPr>
              <w:t xml:space="preserve">Multi-tenancy adicionado</w:t>
            </w:r>
          </w:p>
          <w:p>
            <w:pPr>
              <w:spacing w:before="0" w:after="0"/>
            </w:pPr>
            <w:r>
              <w:rPr>
                <w:rFonts w:ascii="Arial" w:cs="Arial" w:eastAsia="Arial" w:hAnsi="Arial"/>
                <w:color w:val="333333"/>
                <w:sz w:val="20"/>
                <w:szCs w:val="20"/>
              </w:rPr>
              <w:t xml:space="preserve">A documentação original não incluía tenant_id nas entidades. Esta versão adiciona tenant_id (UUID) como campo obrigatório em todas as tabelas transacionais (Incident, ServiceRequest, ConfigurationItem, User, SupportGroup). Row-Level Security activado no PostgreSQL com política: (tenant_id = current_setting('app.current_tenant')::uuid). O API Gateway injeta o header X-Tenant-ID em todas as chamadas autenticadas.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12B13" w:sz="6"/>
              <w:left w:val="single" w:color="712B13" w:sz="1"/>
              <w:bottom w:val="single" w:color="712B13" w:sz="1"/>
              <w:right w:val="single" w:color="712B13" w:sz="1"/>
            </w:tcBorders>
            <w:shd w:fill="FAECE7" w:val="clear"/>
            <w:tcMar>
              <w:top w:type="dxa" w:w="100"/>
              <w:left w:type="dxa" w:w="160"/>
              <w:bottom w:type="dxa" w:w="100"/>
              <w:right w:type="dxa" w:w="160"/>
            </w:tcMar>
          </w:tcPr>
          <w:p>
            <w:pPr>
              <w:spacing w:before="0" w:after="60"/>
            </w:pPr>
            <w:r>
              <w:rPr>
                <w:rFonts w:ascii="Arial" w:cs="Arial" w:eastAsia="Arial" w:hAnsi="Arial"/>
                <w:b/>
                <w:bCs/>
                <w:color w:val="712B13"/>
                <w:sz w:val="18"/>
                <w:szCs w:val="18"/>
              </w:rPr>
              <w:t xml:space="preserve">Event Bus adicionado</w:t>
            </w:r>
          </w:p>
          <w:p>
            <w:pPr>
              <w:spacing w:before="0" w:after="0"/>
            </w:pPr>
            <w:r>
              <w:rPr>
                <w:rFonts w:ascii="Arial" w:cs="Arial" w:eastAsia="Arial" w:hAnsi="Arial"/>
                <w:color w:val="333333"/>
                <w:sz w:val="20"/>
                <w:szCs w:val="20"/>
              </w:rPr>
              <w:t xml:space="preserve">Os módulos que dependiam de FKs directas no mesmo DB passam a receber dados via eventos NATS. O M1 publica: ticket.created, ticket.updated, ticket.closed, ticket.assigned, ci.created, ci.updated, user.created. Cada evento inclui tenant_id, entity_id, timestamp e payload relevante. Os módulos consumidores (M2, M3, M6, M10) subscrevem os tópicos de que necessitam.</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6"/>
              <w:left w:val="single" w:color="185FA5" w:sz="1"/>
              <w:bottom w:val="single" w:color="185FA5" w:sz="1"/>
              <w:right w:val="single" w:color="185FA5" w:sz="1"/>
            </w:tcBorders>
            <w:shd w:fill="EBF4FC" w:val="clear"/>
            <w:tcMar>
              <w:top w:type="dxa" w:w="100"/>
              <w:left w:type="dxa" w:w="160"/>
              <w:bottom w:type="dxa" w:w="100"/>
              <w:right w:type="dxa" w:w="160"/>
            </w:tcMar>
          </w:tcPr>
          <w:p>
            <w:pPr>
              <w:spacing w:before="0" w:after="60"/>
            </w:pPr>
            <w:r>
              <w:rPr>
                <w:rFonts w:ascii="Arial" w:cs="Arial" w:eastAsia="Arial" w:hAnsi="Arial"/>
                <w:b/>
                <w:bCs/>
                <w:color w:val="185FA5"/>
                <w:sz w:val="18"/>
                <w:szCs w:val="18"/>
              </w:rPr>
              <w:t xml:space="preserve">Auto-discovery de CIs via M11</w:t>
            </w:r>
          </w:p>
          <w:p>
            <w:pPr>
              <w:spacing w:before="0" w:after="0"/>
            </w:pPr>
            <w:r>
              <w:rPr>
                <w:rFonts w:ascii="Arial" w:cs="Arial" w:eastAsia="Arial" w:hAnsi="Arial"/>
                <w:color w:val="333333"/>
                <w:sz w:val="20"/>
                <w:szCs w:val="20"/>
              </w:rPr>
              <w:t xml:space="preserve">O campo source foi adicionado à entidade ConfigurationItem com valores: MANUAL, AUTO_DISCOVERY, IMPORT_CSV, IMPORT_API. CIs criados via auto-discovery (eventos ci.discovered publicados pelo M11) têm status PENDING_APPROVAL por defeito, requerendo validação humana antes de ficarem ACTIVE.</w:t>
            </w:r>
          </w:p>
        </w:tc>
      </w:tr>
    </w:tbl>
    <w:p>
      <w:pPr>
        <w:spacing w:before="0" w:after="80"/>
      </w:pPr>
      <w:r>
        <w:t xml:space="preserve"/>
      </w:r>
    </w:p>
    <w:p>
      <w:pPr>
        <w:pStyle w:val="Heading3"/>
        <w:spacing w:before="200" w:after="80"/>
      </w:pPr>
      <w:r>
        <w:rPr>
          <w:rFonts w:ascii="Arial" w:cs="Arial" w:eastAsia="Arial" w:hAnsi="Arial"/>
          <w:b/>
          <w:bCs/>
          <w:color w:val="185FA5"/>
          <w:sz w:val="24"/>
          <w:szCs w:val="24"/>
        </w:rPr>
        <w:t xml:space="preserve">Modelo de dados — entidades principais</w:t>
      </w:r>
    </w:p>
    <w:p>
      <w:pPr>
        <w:spacing w:before="60" w:after="100"/>
        <w:jc w:val="left"/>
      </w:pPr>
      <w:r>
        <w:rPr>
          <w:rFonts w:ascii="Arial" w:cs="Arial" w:eastAsia="Arial" w:hAnsi="Arial"/>
          <w:color w:val="333333"/>
          <w:sz w:val="20"/>
          <w:szCs w:val="20"/>
        </w:rPr>
        <w:t xml:space="preserve">Entidades principais: Incident (id UUID, tenant_id, title, description, category_id, priority_id, status_id, reporter_user_id, assigned_to_user_id, assigned_to_group_id, configuration_item_id, created_at, updated_at, resolved_at, closed_at). IncidentLog (id, tenant_id, incident_id, user_id, action_type, details, created_at). ServiceRequest (id, tenant_id, service_item_id, request_data_json, status_id, requester_user_id, created_at). ServiceItem (id, tenant_id, name, description, form_definition_json, is_active). ConfigurationItem (id, tenant_id, name, ci_type_id, status_id, source, custom_attributes_json). User (id, tenant_id, email, password_hash, timezone, location, is_active). Tenant (id, name, plan_tier, feature_flags_json, created_at).</w:t>
      </w:r>
    </w:p>
    <w:p>
      <w:pPr>
        <w:spacing w:before="0" w:after="200"/>
      </w:pPr>
      <w:r>
        <w:t xml:space="preserve"/>
      </w:r>
    </w:p>
    <w:p>
      <w:pPr>
        <w:pBdr>
          <w:bottom w:val="single" w:color="185FA5" w:sz="6" w:space="1"/>
        </w:pBdr>
        <w:spacing w:before="120" w:after="120"/>
      </w:pPr>
      <w:r>
        <w:t xml:space="preserve"/>
      </w:r>
    </w:p>
    <w:p>
      <w:pPr>
        <w:pStyle w:val="Heading2"/>
        <w:spacing w:before="280" w:after="80"/>
      </w:pPr>
      <w:r>
        <w:rPr>
          <w:rFonts w:ascii="Arial" w:cs="Arial" w:eastAsia="Arial" w:hAnsi="Arial"/>
          <w:b/>
          <w:bCs/>
          <w:color w:val="185FA5"/>
          <w:sz w:val="28"/>
          <w:szCs w:val="28"/>
        </w:rPr>
        <w:t xml:space="preserve">M2: Camada Cognitiva de IA  </w:t>
      </w:r>
      <w:r>
        <w:rPr>
          <w:rFonts w:ascii="Arial" w:cs="Arial" w:eastAsia="Arial" w:hAnsi="Arial"/>
          <w:b w:val="false"/>
          <w:bCs w:val="false"/>
          <w:color w:val="888888"/>
          <w:sz w:val="20"/>
          <w:szCs w:val="20"/>
        </w:rPr>
        <w:t xml:space="preserve">[IA]</w:t>
      </w:r>
    </w:p>
    <w:p>
      <w:pPr>
        <w:spacing w:before="60" w:after="100"/>
        <w:jc w:val="left"/>
      </w:pPr>
      <w:r>
        <w:rPr>
          <w:rFonts w:ascii="Arial" w:cs="Arial" w:eastAsia="Arial" w:hAnsi="Arial"/>
          <w:color w:val="888888"/>
          <w:sz w:val="18"/>
          <w:szCs w:val="18"/>
        </w:rPr>
        <w:t xml:space="preserve">Fase de entrega: Fase 1  |  Estado: Detalhado — actualizado v3</w:t>
      </w:r>
    </w:p>
    <w:p>
      <w:pPr>
        <w:spacing w:before="0" w:after="60"/>
      </w:pPr>
      <w:r>
        <w:t xml:space="preserve"/>
      </w:r>
    </w:p>
    <w:p>
      <w:pPr>
        <w:pStyle w:val="Heading3"/>
        <w:spacing w:before="200" w:after="80"/>
      </w:pPr>
      <w:r>
        <w:rPr>
          <w:rFonts w:ascii="Arial" w:cs="Arial" w:eastAsia="Arial" w:hAnsi="Arial"/>
          <w:b/>
          <w:bCs/>
          <w:color w:val="185FA5"/>
          <w:sz w:val="24"/>
          <w:szCs w:val="24"/>
        </w:rPr>
        <w:t xml:space="preserve">Objectivo principal</w:t>
      </w:r>
    </w:p>
    <w:p>
      <w:pPr>
        <w:spacing w:before="60" w:after="100"/>
        <w:jc w:val="left"/>
      </w:pPr>
      <w:r>
        <w:rPr>
          <w:rFonts w:ascii="Arial" w:cs="Arial" w:eastAsia="Arial" w:hAnsi="Arial"/>
          <w:color w:val="333333"/>
          <w:sz w:val="20"/>
          <w:szCs w:val="20"/>
        </w:rPr>
        <w:t xml:space="preserve">Inteligência que automatiza a compreensão inicial de tickets. Realiza triagem automática, leitura semântica, extracção de entidades, classificação de categoria/prioridade/grupo, e recomendação de artigos da KB. A partir desta versão, opera sobre dados do Event Bus (em vez de acesso directo ao DB do M1) e inclui estratégia de cold start para novos tenants.</w:t>
      </w:r>
    </w:p>
    <w:p>
      <w:pPr>
        <w:pStyle w:val="Heading3"/>
        <w:spacing w:before="200" w:after="80"/>
      </w:pPr>
      <w:r>
        <w:rPr>
          <w:rFonts w:ascii="Arial" w:cs="Arial" w:eastAsia="Arial" w:hAnsi="Arial"/>
          <w:b/>
          <w:bCs/>
          <w:color w:val="185FA5"/>
          <w:sz w:val="24"/>
          <w:szCs w:val="24"/>
        </w:rPr>
        <w:t xml:space="preserve">Funcionalidades MVP</w:t>
      </w:r>
    </w:p>
    <w:p>
      <w:pPr>
        <w:pStyle w:val="ListParagraph"/>
        <w:numPr>
          <w:ilvl w:val="0"/>
          <w:numId w:val="2"/>
        </w:numPr>
        <w:spacing w:before="40" w:after="40"/>
      </w:pPr>
      <w:r>
        <w:rPr>
          <w:rFonts w:ascii="Arial" w:cs="Arial" w:eastAsia="Arial" w:hAnsi="Arial"/>
          <w:color w:val="333333"/>
          <w:sz w:val="20"/>
          <w:szCs w:val="20"/>
        </w:rPr>
        <w:t xml:space="preserve">Classificação de tickets: análise de título e descrição via NLP, previsão de category, subcategory, priority, impact, urgency com confidence score</w:t>
      </w:r>
    </w:p>
    <w:p>
      <w:pPr>
        <w:pStyle w:val="ListParagraph"/>
        <w:numPr>
          <w:ilvl w:val="0"/>
          <w:numId w:val="2"/>
        </w:numPr>
        <w:spacing w:before="40" w:after="40"/>
      </w:pPr>
      <w:r>
        <w:rPr>
          <w:rFonts w:ascii="Arial" w:cs="Arial" w:eastAsia="Arial" w:hAnsi="Arial"/>
          <w:color w:val="333333"/>
          <w:sz w:val="20"/>
          <w:szCs w:val="20"/>
        </w:rPr>
        <w:t xml:space="preserve">Extracção de entidades (NER): sistemas/aplicações, códigos de erro, dispositivos, IDs de utilizador. Linkagem com CMDB (M1)</w:t>
      </w:r>
    </w:p>
    <w:p>
      <w:pPr>
        <w:pStyle w:val="ListParagraph"/>
        <w:numPr>
          <w:ilvl w:val="0"/>
          <w:numId w:val="2"/>
        </w:numPr>
        <w:spacing w:before="40" w:after="40"/>
      </w:pPr>
      <w:r>
        <w:rPr>
          <w:rFonts w:ascii="Arial" w:cs="Arial" w:eastAsia="Arial" w:hAnsi="Arial"/>
          <w:color w:val="333333"/>
          <w:sz w:val="20"/>
          <w:szCs w:val="20"/>
        </w:rPr>
        <w:t xml:space="preserve">Sugestão de roteamento: grupo de suporte e analista com base em histórico e habilidades</w:t>
      </w:r>
    </w:p>
    <w:p>
      <w:pPr>
        <w:pStyle w:val="ListParagraph"/>
        <w:numPr>
          <w:ilvl w:val="0"/>
          <w:numId w:val="2"/>
        </w:numPr>
        <w:spacing w:before="40" w:after="40"/>
      </w:pPr>
      <w:r>
        <w:rPr>
          <w:rFonts w:ascii="Arial" w:cs="Arial" w:eastAsia="Arial" w:hAnsi="Arial"/>
          <w:color w:val="333333"/>
          <w:sz w:val="20"/>
          <w:szCs w:val="20"/>
        </w:rPr>
        <w:t xml:space="preserve">Recomendação de artigos KB (M4) para analista e utilizador final no portal</w:t>
      </w:r>
    </w:p>
    <w:p>
      <w:pPr>
        <w:pStyle w:val="ListParagraph"/>
        <w:numPr>
          <w:ilvl w:val="0"/>
          <w:numId w:val="2"/>
        </w:numPr>
        <w:spacing w:before="40" w:after="40"/>
      </w:pPr>
      <w:r>
        <w:rPr>
          <w:rFonts w:ascii="Arial" w:cs="Arial" w:eastAsia="Arial" w:hAnsi="Arial"/>
          <w:color w:val="333333"/>
          <w:sz w:val="20"/>
          <w:szCs w:val="20"/>
        </w:rPr>
        <w:t xml:space="preserve">Sugestão de reclassificação: detecta tickets classificados incorrectamente como incidente vs. requisição</w:t>
      </w:r>
    </w:p>
    <w:p>
      <w:pPr>
        <w:pStyle w:val="ListParagraph"/>
        <w:numPr>
          <w:ilvl w:val="0"/>
          <w:numId w:val="2"/>
        </w:numPr>
        <w:spacing w:before="40" w:after="40"/>
      </w:pPr>
      <w:r>
        <w:rPr>
          <w:rFonts w:ascii="Arial" w:cs="Arial" w:eastAsia="Arial" w:hAnsi="Arial"/>
          <w:color w:val="333333"/>
          <w:sz w:val="20"/>
          <w:szCs w:val="20"/>
        </w:rPr>
        <w:t xml:space="preserve">Cold start: modelos pré-treinados em datasets ITSM públicos activos desde o primeiro ticket; fine-tuning por tenant activado após 500 tickets com feedback</w:t>
      </w:r>
    </w:p>
    <w:p>
      <w:pPr>
        <w:pStyle w:val="ListParagraph"/>
        <w:numPr>
          <w:ilvl w:val="0"/>
          <w:numId w:val="2"/>
        </w:numPr>
        <w:spacing w:before="40" w:after="40"/>
      </w:pPr>
      <w:r>
        <w:rPr>
          <w:rFonts w:ascii="Arial" w:cs="Arial" w:eastAsia="Arial" w:hAnsi="Arial"/>
          <w:color w:val="333333"/>
          <w:sz w:val="20"/>
          <w:szCs w:val="20"/>
        </w:rPr>
        <w:t xml:space="preserve">Feedback loop: campo actual_value_json no PredictionLog captura correcções humanas para retreinamento periódico</w:t>
      </w:r>
    </w:p>
    <w:p>
      <w:pPr>
        <w:pStyle w:val="Heading3"/>
        <w:spacing w:before="200" w:after="80"/>
      </w:pPr>
      <w:r>
        <w:rPr>
          <w:rFonts w:ascii="Arial" w:cs="Arial" w:eastAsia="Arial" w:hAnsi="Arial"/>
          <w:b/>
          <w:bCs/>
          <w:color w:val="185FA5"/>
          <w:sz w:val="24"/>
          <w:szCs w:val="24"/>
        </w:rPr>
        <w:t xml:space="preserve">Stack tecnológica recomendada</w:t>
      </w:r>
    </w:p>
    <w:p>
      <w:pPr>
        <w:pStyle w:val="ListParagraph"/>
        <w:numPr>
          <w:ilvl w:val="0"/>
          <w:numId w:val="2"/>
        </w:numPr>
        <w:spacing w:before="40" w:after="40"/>
      </w:pPr>
      <w:r>
        <w:rPr>
          <w:rFonts w:ascii="Arial" w:cs="Arial" w:eastAsia="Arial" w:hAnsi="Arial"/>
          <w:color w:val="333333"/>
          <w:sz w:val="20"/>
          <w:szCs w:val="20"/>
        </w:rPr>
        <w:t xml:space="preserve">Python: linguagem única para todo o módulo</w:t>
      </w:r>
    </w:p>
    <w:p>
      <w:pPr>
        <w:pStyle w:val="ListParagraph"/>
        <w:numPr>
          <w:ilvl w:val="0"/>
          <w:numId w:val="2"/>
        </w:numPr>
        <w:spacing w:before="40" w:after="40"/>
      </w:pPr>
      <w:r>
        <w:rPr>
          <w:rFonts w:ascii="Arial" w:cs="Arial" w:eastAsia="Arial" w:hAnsi="Arial"/>
          <w:color w:val="333333"/>
          <w:sz w:val="20"/>
          <w:szCs w:val="20"/>
        </w:rPr>
        <w:t xml:space="preserve">NLP: spaCy para NER e tokenização; Hugging Face Transformers (DistilBERT fine-tuned) para classificação</w:t>
      </w:r>
    </w:p>
    <w:p>
      <w:pPr>
        <w:pStyle w:val="ListParagraph"/>
        <w:numPr>
          <w:ilvl w:val="0"/>
          <w:numId w:val="2"/>
        </w:numPr>
        <w:spacing w:before="40" w:after="40"/>
      </w:pPr>
      <w:r>
        <w:rPr>
          <w:rFonts w:ascii="Arial" w:cs="Arial" w:eastAsia="Arial" w:hAnsi="Arial"/>
          <w:color w:val="333333"/>
          <w:sz w:val="20"/>
          <w:szCs w:val="20"/>
        </w:rPr>
        <w:t xml:space="preserve">Modelos base pré-treinados: bert-base-uncased fine-tuned em SNOW/ITSM dataset para cold start</w:t>
      </w:r>
    </w:p>
    <w:p>
      <w:pPr>
        <w:pStyle w:val="ListParagraph"/>
        <w:numPr>
          <w:ilvl w:val="0"/>
          <w:numId w:val="2"/>
        </w:numPr>
        <w:spacing w:before="40" w:after="40"/>
      </w:pPr>
      <w:r>
        <w:rPr>
          <w:rFonts w:ascii="Arial" w:cs="Arial" w:eastAsia="Arial" w:hAnsi="Arial"/>
          <w:color w:val="333333"/>
          <w:sz w:val="20"/>
          <w:szCs w:val="20"/>
        </w:rPr>
        <w:t xml:space="preserve">API: FastAPI para endpoints de inferência consumidos pelo M1 e Event Bus</w:t>
      </w:r>
    </w:p>
    <w:p>
      <w:pPr>
        <w:pStyle w:val="ListParagraph"/>
        <w:numPr>
          <w:ilvl w:val="0"/>
          <w:numId w:val="2"/>
        </w:numPr>
        <w:spacing w:before="40" w:after="40"/>
      </w:pPr>
      <w:r>
        <w:rPr>
          <w:rFonts w:ascii="Arial" w:cs="Arial" w:eastAsia="Arial" w:hAnsi="Arial"/>
          <w:color w:val="333333"/>
          <w:sz w:val="20"/>
          <w:szCs w:val="20"/>
        </w:rPr>
        <w:t xml:space="preserve">MLOps: MLflow para versioning de modelos e tracking de métricas</w:t>
      </w:r>
    </w:p>
    <w:p>
      <w:pPr>
        <w:pStyle w:val="ListParagraph"/>
        <w:numPr>
          <w:ilvl w:val="0"/>
          <w:numId w:val="2"/>
        </w:numPr>
        <w:spacing w:before="40" w:after="40"/>
      </w:pPr>
      <w:r>
        <w:rPr>
          <w:rFonts w:ascii="Arial" w:cs="Arial" w:eastAsia="Arial" w:hAnsi="Arial"/>
          <w:color w:val="333333"/>
          <w:sz w:val="20"/>
          <w:szCs w:val="20"/>
        </w:rPr>
        <w:t xml:space="preserve">Storage de modelos: S3-compatible (mesmo bucket do M1)</w:t>
      </w:r>
    </w:p>
    <w:p>
      <w:pPr>
        <w:pStyle w:val="ListParagraph"/>
        <w:numPr>
          <w:ilvl w:val="0"/>
          <w:numId w:val="2"/>
        </w:numPr>
        <w:spacing w:before="40" w:after="40"/>
      </w:pPr>
      <w:r>
        <w:rPr>
          <w:rFonts w:ascii="Arial" w:cs="Arial" w:eastAsia="Arial" w:hAnsi="Arial"/>
          <w:color w:val="333333"/>
          <w:sz w:val="20"/>
          <w:szCs w:val="20"/>
        </w:rPr>
        <w:t xml:space="preserve">Subscrição de eventos: NATS JetStream — subscreve ticket.created e ticket.updated</w:t>
      </w:r>
    </w:p>
    <w:p>
      <w:pPr>
        <w:pStyle w:val="Heading3"/>
        <w:spacing w:before="200" w:after="80"/>
      </w:pPr>
      <w:r>
        <w:rPr>
          <w:rFonts w:ascii="Arial" w:cs="Arial" w:eastAsia="Arial" w:hAnsi="Arial"/>
          <w:b/>
          <w:bCs/>
          <w:color w:val="185FA5"/>
          <w:sz w:val="24"/>
          <w:szCs w:val="24"/>
        </w:rPr>
        <w:t xml:space="preserve">Dependências</w:t>
      </w:r>
    </w:p>
    <w:p>
      <w:pPr>
        <w:spacing w:before="60" w:after="100"/>
      </w:pPr>
      <w:r>
        <w:rPr>
          <w:rFonts w:ascii="Arial" w:cs="Arial" w:eastAsia="Arial" w:hAnsi="Arial"/>
          <w:b/>
          <w:bCs/>
          <w:color w:val="333333"/>
          <w:sz w:val="20"/>
          <w:szCs w:val="20"/>
        </w:rPr>
        <w:t xml:space="preserve">Recebe de: </w:t>
      </w:r>
      <w:r>
        <w:rPr>
          <w:rFonts w:ascii="Arial" w:cs="Arial" w:eastAsia="Arial" w:hAnsi="Arial"/>
          <w:b w:val="false"/>
          <w:bCs w:val="false"/>
          <w:color w:val="333333"/>
          <w:sz w:val="20"/>
          <w:szCs w:val="20"/>
        </w:rPr>
        <w:t xml:space="preserve">M1 (via eventos ticket.created / ticket.updated no NATS). M4 (artigos KB para recomendação). Datasets ITSM públicos para cold start.</w:t>
      </w:r>
    </w:p>
    <w:p>
      <w:pPr>
        <w:spacing w:before="60" w:after="100"/>
      </w:pPr>
      <w:r>
        <w:rPr>
          <w:rFonts w:ascii="Arial" w:cs="Arial" w:eastAsia="Arial" w:hAnsi="Arial"/>
          <w:b/>
          <w:bCs/>
          <w:color w:val="333333"/>
          <w:sz w:val="20"/>
          <w:szCs w:val="20"/>
        </w:rPr>
        <w:t xml:space="preserve">Fornece para: </w:t>
      </w:r>
      <w:r>
        <w:rPr>
          <w:rFonts w:ascii="Arial" w:cs="Arial" w:eastAsia="Arial" w:hAnsi="Arial"/>
          <w:b w:val="false"/>
          <w:bCs w:val="false"/>
          <w:color w:val="333333"/>
          <w:sz w:val="20"/>
          <w:szCs w:val="20"/>
        </w:rPr>
        <w:t xml:space="preserve">M1 (publica ai.ticket.classified com previsões para M1 pré-preencher campos). M3 (classificações desencadeiam automações). M4 (solicita recomendações de artigos). M5 (dados de classificação para modelos preditivos). M6 (taxa de aceitação de sugestões). M10 (logs de inferência para auditoria). M14 (logs para TrustOps).</w:t>
      </w:r>
    </w:p>
    <w:p>
      <w:pPr>
        <w:pStyle w:val="Heading3"/>
        <w:spacing w:before="200" w:after="80"/>
      </w:pPr>
      <w:r>
        <w:rPr>
          <w:rFonts w:ascii="Arial" w:cs="Arial" w:eastAsia="Arial" w:hAnsi="Arial"/>
          <w:b/>
          <w:bCs/>
          <w:color w:val="185FA5"/>
          <w:sz w:val="24"/>
          <w:szCs w:val="24"/>
        </w:rPr>
        <w:t xml:space="preserve">Métricas de sucesso</w:t>
      </w:r>
    </w:p>
    <w:p>
      <w:pPr>
        <w:pStyle w:val="ListParagraph"/>
        <w:numPr>
          <w:ilvl w:val="0"/>
          <w:numId w:val="2"/>
        </w:numPr>
        <w:spacing w:before="40" w:after="40"/>
      </w:pPr>
      <w:r>
        <w:rPr>
          <w:rFonts w:ascii="Arial" w:cs="Arial" w:eastAsia="Arial" w:hAnsi="Arial"/>
          <w:color w:val="333333"/>
          <w:sz w:val="20"/>
          <w:szCs w:val="20"/>
        </w:rPr>
        <w:t xml:space="preserve">Accuracy de classificação de categoria ≥ 70% após fine-tuning (baseline de 50% com modelo pré-treinado)</w:t>
      </w:r>
    </w:p>
    <w:p>
      <w:pPr>
        <w:pStyle w:val="ListParagraph"/>
        <w:numPr>
          <w:ilvl w:val="0"/>
          <w:numId w:val="2"/>
        </w:numPr>
        <w:spacing w:before="40" w:after="40"/>
      </w:pPr>
      <w:r>
        <w:rPr>
          <w:rFonts w:ascii="Arial" w:cs="Arial" w:eastAsia="Arial" w:hAnsi="Arial"/>
          <w:color w:val="333333"/>
          <w:sz w:val="20"/>
          <w:szCs w:val="20"/>
        </w:rPr>
        <w:t xml:space="preserve">F1-score de NER para entidades de sistema ≥ 0.65 em produção</w:t>
      </w:r>
    </w:p>
    <w:p>
      <w:pPr>
        <w:pStyle w:val="ListParagraph"/>
        <w:numPr>
          <w:ilvl w:val="0"/>
          <w:numId w:val="2"/>
        </w:numPr>
        <w:spacing w:before="40" w:after="40"/>
      </w:pPr>
      <w:r>
        <w:rPr>
          <w:rFonts w:ascii="Arial" w:cs="Arial" w:eastAsia="Arial" w:hAnsi="Arial"/>
          <w:color w:val="333333"/>
          <w:sz w:val="20"/>
          <w:szCs w:val="20"/>
        </w:rPr>
        <w:t xml:space="preserve">Taxa de aceitação das sugestões de classificação pelos analistas ≥ 60%</w:t>
      </w:r>
    </w:p>
    <w:p>
      <w:pPr>
        <w:pStyle w:val="ListParagraph"/>
        <w:numPr>
          <w:ilvl w:val="0"/>
          <w:numId w:val="2"/>
        </w:numPr>
        <w:spacing w:before="40" w:after="40"/>
      </w:pPr>
      <w:r>
        <w:rPr>
          <w:rFonts w:ascii="Arial" w:cs="Arial" w:eastAsia="Arial" w:hAnsi="Arial"/>
          <w:color w:val="333333"/>
          <w:sz w:val="20"/>
          <w:szCs w:val="20"/>
        </w:rPr>
        <w:t xml:space="preserve">Coverage: % de tickets com previsão de confiança &gt; 0.7 ≥ 80%</w:t>
      </w:r>
    </w:p>
    <w:p>
      <w:pPr>
        <w:pStyle w:val="ListParagraph"/>
        <w:numPr>
          <w:ilvl w:val="0"/>
          <w:numId w:val="2"/>
        </w:numPr>
        <w:spacing w:before="40" w:after="40"/>
      </w:pPr>
      <w:r>
        <w:rPr>
          <w:rFonts w:ascii="Arial" w:cs="Arial" w:eastAsia="Arial" w:hAnsi="Arial"/>
          <w:color w:val="333333"/>
          <w:sz w:val="20"/>
          <w:szCs w:val="20"/>
        </w:rPr>
        <w:t xml:space="preserve">Tempo de inferência &lt; 500ms por ticket (P95)</w:t>
      </w:r>
    </w:p>
    <w:p>
      <w:pPr>
        <w:pStyle w:val="ListParagraph"/>
        <w:numPr>
          <w:ilvl w:val="0"/>
          <w:numId w:val="2"/>
        </w:numPr>
        <w:spacing w:before="40" w:after="40"/>
      </w:pPr>
      <w:r>
        <w:rPr>
          <w:rFonts w:ascii="Arial" w:cs="Arial" w:eastAsia="Arial" w:hAnsi="Arial"/>
          <w:color w:val="333333"/>
          <w:sz w:val="20"/>
          <w:szCs w:val="20"/>
        </w:rPr>
        <w:t xml:space="preserve">Tempo de cold start para novo tenant: valor útil desde o primeiro ticket com modelo base</w:t>
      </w:r>
    </w:p>
    <w:p>
      <w:pPr>
        <w:pStyle w:val="Heading3"/>
        <w:spacing w:before="200" w:after="80"/>
      </w:pPr>
      <w:r>
        <w:rPr>
          <w:rFonts w:ascii="Arial" w:cs="Arial" w:eastAsia="Arial" w:hAnsi="Arial"/>
          <w:b/>
          <w:bCs/>
          <w:color w:val="185FA5"/>
          <w:sz w:val="24"/>
          <w:szCs w:val="24"/>
        </w:rPr>
        <w:t xml:space="preserve">Gaps identificados e ajustes nesta versão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12B13" w:sz="6"/>
              <w:left w:val="single" w:color="712B13" w:sz="1"/>
              <w:bottom w:val="single" w:color="712B13" w:sz="1"/>
              <w:right w:val="single" w:color="712B13" w:sz="1"/>
            </w:tcBorders>
            <w:shd w:fill="FAECE7" w:val="clear"/>
            <w:tcMar>
              <w:top w:type="dxa" w:w="100"/>
              <w:left w:type="dxa" w:w="160"/>
              <w:bottom w:type="dxa" w:w="100"/>
              <w:right w:type="dxa" w:w="160"/>
            </w:tcMar>
          </w:tcPr>
          <w:p>
            <w:pPr>
              <w:spacing w:before="0" w:after="60"/>
            </w:pPr>
            <w:r>
              <w:rPr>
                <w:rFonts w:ascii="Arial" w:cs="Arial" w:eastAsia="Arial" w:hAnsi="Arial"/>
                <w:b/>
                <w:bCs/>
                <w:color w:val="712B13"/>
                <w:sz w:val="18"/>
                <w:szCs w:val="18"/>
              </w:rPr>
              <w:t xml:space="preserve">Cold start strategy adicionada</w:t>
            </w:r>
          </w:p>
          <w:p>
            <w:pPr>
              <w:spacing w:before="0" w:after="0"/>
            </w:pPr>
            <w:r>
              <w:rPr>
                <w:rFonts w:ascii="Arial" w:cs="Arial" w:eastAsia="Arial" w:hAnsi="Arial"/>
                <w:color w:val="333333"/>
                <w:sz w:val="20"/>
                <w:szCs w:val="20"/>
              </w:rPr>
              <w:t xml:space="preserve">A documentação original assumia dados históricos disponíveis. Esta versão define três fases: (1) Cold — modelo base pré-treinado, regras heurísticas de fallback; (2) Warm — após 200 tickets com feedback, fine-tuning inicial; (3) Hot — retreinamento mensal automático com dados do tenant. O PredictionLog regista qual fase está activa para cada tenant.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12B13" w:sz="6"/>
              <w:left w:val="single" w:color="712B13" w:sz="1"/>
              <w:bottom w:val="single" w:color="712B13" w:sz="1"/>
              <w:right w:val="single" w:color="712B13" w:sz="1"/>
            </w:tcBorders>
            <w:shd w:fill="FAECE7" w:val="clear"/>
            <w:tcMar>
              <w:top w:type="dxa" w:w="100"/>
              <w:left w:type="dxa" w:w="160"/>
              <w:bottom w:type="dxa" w:w="100"/>
              <w:right w:type="dxa" w:w="160"/>
            </w:tcMar>
          </w:tcPr>
          <w:p>
            <w:pPr>
              <w:spacing w:before="0" w:after="60"/>
            </w:pPr>
            <w:r>
              <w:rPr>
                <w:rFonts w:ascii="Arial" w:cs="Arial" w:eastAsia="Arial" w:hAnsi="Arial"/>
                <w:b/>
                <w:bCs/>
                <w:color w:val="712B13"/>
                <w:sz w:val="18"/>
                <w:szCs w:val="18"/>
              </w:rPr>
              <w:t xml:space="preserve">Desacoplamento via Event Bus</w:t>
            </w:r>
          </w:p>
          <w:p>
            <w:pPr>
              <w:spacing w:before="0" w:after="0"/>
            </w:pPr>
            <w:r>
              <w:rPr>
                <w:rFonts w:ascii="Arial" w:cs="Arial" w:eastAsia="Arial" w:hAnsi="Arial"/>
                <w:color w:val="333333"/>
                <w:sz w:val="20"/>
                <w:szCs w:val="20"/>
              </w:rPr>
              <w:t xml:space="preserve">O M2 deixa de aceder directamente ao DB do M1. Subscreve o tópico ticket.created no NATS, processa, e publica ai.ticket.classified de volta. O M1 consome este evento e actualiza os campos de classificação no ticket. Este fluxo garante que o M2 pode ser escalado independentemente (ex: aumentar replicas em período de pico) sem afectar o M1.</w:t>
            </w:r>
          </w:p>
        </w:tc>
      </w:tr>
    </w:tbl>
    <w:p>
      <w:pPr>
        <w:spacing w:before="0" w:after="80"/>
      </w:pPr>
      <w:r>
        <w:t xml:space="preserve"/>
      </w:r>
    </w:p>
    <w:p>
      <w:pPr>
        <w:pStyle w:val="Heading3"/>
        <w:spacing w:before="200" w:after="80"/>
      </w:pPr>
      <w:r>
        <w:rPr>
          <w:rFonts w:ascii="Arial" w:cs="Arial" w:eastAsia="Arial" w:hAnsi="Arial"/>
          <w:b/>
          <w:bCs/>
          <w:color w:val="185FA5"/>
          <w:sz w:val="24"/>
          <w:szCs w:val="24"/>
        </w:rPr>
        <w:t xml:space="preserve">Modelo de dados — entidades principais</w:t>
      </w:r>
    </w:p>
    <w:p>
      <w:pPr>
        <w:spacing w:before="60" w:after="100"/>
        <w:jc w:val="left"/>
      </w:pPr>
      <w:r>
        <w:rPr>
          <w:rFonts w:ascii="Arial" w:cs="Arial" w:eastAsia="Arial" w:hAnsi="Arial"/>
          <w:color w:val="333333"/>
          <w:sz w:val="20"/>
          <w:szCs w:val="20"/>
        </w:rPr>
        <w:t xml:space="preserve">MlModel (id, tenant_id, name, version, path_to_artifact, target_attribute, metrics_json, is_active, last_trained_at, training_phase: COLD/WARM/HOT). PredictionLog (id, tenant_id, model_id, ticket_id, input_text, predicted_value_json, extracted_entities_json, recommended_kb_articles_json, actual_value_json, confidence_score, feedback_provided_at, created_at).</w:t>
      </w:r>
    </w:p>
    <w:p>
      <w:pPr>
        <w:spacing w:before="0" w:after="200"/>
      </w:pPr>
      <w:r>
        <w:t xml:space="preserve"/>
      </w:r>
    </w:p>
    <w:p>
      <w:pPr>
        <w:pBdr>
          <w:bottom w:val="single" w:color="185FA5" w:sz="6" w:space="1"/>
        </w:pBdr>
        <w:spacing w:before="120" w:after="120"/>
      </w:pPr>
      <w:r>
        <w:t xml:space="preserve"/>
      </w:r>
    </w:p>
    <w:p>
      <w:pPr>
        <w:pStyle w:val="Heading2"/>
        <w:spacing w:before="280" w:after="80"/>
      </w:pPr>
      <w:r>
        <w:rPr>
          <w:rFonts w:ascii="Arial" w:cs="Arial" w:eastAsia="Arial" w:hAnsi="Arial"/>
          <w:b/>
          <w:bCs/>
          <w:color w:val="185FA5"/>
          <w:sz w:val="28"/>
          <w:szCs w:val="28"/>
        </w:rPr>
        <w:t xml:space="preserve">M3: Automação e Auto-Cura de IA  </w:t>
      </w:r>
      <w:r>
        <w:rPr>
          <w:rFonts w:ascii="Arial" w:cs="Arial" w:eastAsia="Arial" w:hAnsi="Arial"/>
          <w:b w:val="false"/>
          <w:bCs w:val="false"/>
          <w:color w:val="888888"/>
          <w:sz w:val="20"/>
          <w:szCs w:val="20"/>
        </w:rPr>
        <w:t xml:space="preserve">[IA]</w:t>
      </w:r>
    </w:p>
    <w:p>
      <w:pPr>
        <w:spacing w:before="60" w:after="100"/>
        <w:jc w:val="left"/>
      </w:pPr>
      <w:r>
        <w:rPr>
          <w:rFonts w:ascii="Arial" w:cs="Arial" w:eastAsia="Arial" w:hAnsi="Arial"/>
          <w:color w:val="888888"/>
          <w:sz w:val="18"/>
          <w:szCs w:val="18"/>
        </w:rPr>
        <w:t xml:space="preserve">Fase de entrega: Fase 2  |  Estado: Detalhado — actualizado v3</w:t>
      </w:r>
    </w:p>
    <w:p>
      <w:pPr>
        <w:spacing w:before="0" w:after="60"/>
      </w:pPr>
      <w:r>
        <w:t xml:space="preserve"/>
      </w:r>
    </w:p>
    <w:p>
      <w:pPr>
        <w:pStyle w:val="Heading3"/>
        <w:spacing w:before="200" w:after="80"/>
      </w:pPr>
      <w:r>
        <w:rPr>
          <w:rFonts w:ascii="Arial" w:cs="Arial" w:eastAsia="Arial" w:hAnsi="Arial"/>
          <w:b/>
          <w:bCs/>
          <w:color w:val="185FA5"/>
          <w:sz w:val="24"/>
          <w:szCs w:val="24"/>
        </w:rPr>
        <w:t xml:space="preserve">Objectivo principal</w:t>
      </w:r>
    </w:p>
    <w:p>
      <w:pPr>
        <w:spacing w:before="60" w:after="100"/>
        <w:jc w:val="left"/>
      </w:pPr>
      <w:r>
        <w:rPr>
          <w:rFonts w:ascii="Arial" w:cs="Arial" w:eastAsia="Arial" w:hAnsi="Arial"/>
          <w:color w:val="333333"/>
          <w:sz w:val="20"/>
          <w:szCs w:val="20"/>
        </w:rPr>
        <w:t xml:space="preserve">Detectar proactivamente ou reactivamente causas raízes conhecidas e aplicar correcções automáticas. Reduz MTTR, minimiza intervenção manual e melhora disponibilidade dos serviços. A partir desta versão, os triggers chegam exclusivamente via Event Bus e os runbooks são geridos como código (IaC) versionado no Git.</w:t>
      </w:r>
    </w:p>
    <w:p>
      <w:pPr>
        <w:pStyle w:val="Heading3"/>
        <w:spacing w:before="200" w:after="80"/>
      </w:pPr>
      <w:r>
        <w:rPr>
          <w:rFonts w:ascii="Arial" w:cs="Arial" w:eastAsia="Arial" w:hAnsi="Arial"/>
          <w:b/>
          <w:bCs/>
          <w:color w:val="185FA5"/>
          <w:sz w:val="24"/>
          <w:szCs w:val="24"/>
        </w:rPr>
        <w:t xml:space="preserve">Funcionalidades MVP</w:t>
      </w:r>
    </w:p>
    <w:p>
      <w:pPr>
        <w:pStyle w:val="ListParagraph"/>
        <w:numPr>
          <w:ilvl w:val="0"/>
          <w:numId w:val="2"/>
        </w:numPr>
        <w:spacing w:before="40" w:after="40"/>
      </w:pPr>
      <w:r>
        <w:rPr>
          <w:rFonts w:ascii="Arial" w:cs="Arial" w:eastAsia="Arial" w:hAnsi="Arial"/>
          <w:color w:val="333333"/>
          <w:sz w:val="20"/>
          <w:szCs w:val="20"/>
        </w:rPr>
        <w:t xml:space="preserve">Catálogo de soluções automatizáveis: registo de problemas conhecidos e runbooks associados com critérios de matching</w:t>
      </w:r>
    </w:p>
    <w:p>
      <w:pPr>
        <w:pStyle w:val="ListParagraph"/>
        <w:numPr>
          <w:ilvl w:val="0"/>
          <w:numId w:val="2"/>
        </w:numPr>
        <w:spacing w:before="40" w:after="40"/>
      </w:pPr>
      <w:r>
        <w:rPr>
          <w:rFonts w:ascii="Arial" w:cs="Arial" w:eastAsia="Arial" w:hAnsi="Arial"/>
          <w:color w:val="333333"/>
          <w:sz w:val="20"/>
          <w:szCs w:val="20"/>
        </w:rPr>
        <w:t xml:space="preserve">Triggers via Event Bus: subscreve ai.ticket.classified (M2), monitoring.alert.fired (M11) e analyst.automation.requested (M1)</w:t>
      </w:r>
    </w:p>
    <w:p>
      <w:pPr>
        <w:pStyle w:val="ListParagraph"/>
        <w:numPr>
          <w:ilvl w:val="0"/>
          <w:numId w:val="2"/>
        </w:numPr>
        <w:spacing w:before="40" w:after="40"/>
      </w:pPr>
      <w:r>
        <w:rPr>
          <w:rFonts w:ascii="Arial" w:cs="Arial" w:eastAsia="Arial" w:hAnsi="Arial"/>
          <w:color w:val="333333"/>
          <w:sz w:val="20"/>
          <w:szCs w:val="20"/>
        </w:rPr>
        <w:t xml:space="preserve">Execução de runbooks: sequências de acções em infra (SSH/WinRM), APIs de aplicações, cloud (AWS/Azure/GCP), DBs</w:t>
      </w:r>
    </w:p>
    <w:p>
      <w:pPr>
        <w:pStyle w:val="ListParagraph"/>
        <w:numPr>
          <w:ilvl w:val="0"/>
          <w:numId w:val="2"/>
        </w:numPr>
        <w:spacing w:before="40" w:after="40"/>
      </w:pPr>
      <w:r>
        <w:rPr>
          <w:rFonts w:ascii="Arial" w:cs="Arial" w:eastAsia="Arial" w:hAnsi="Arial"/>
          <w:color w:val="333333"/>
          <w:sz w:val="20"/>
          <w:szCs w:val="20"/>
        </w:rPr>
        <w:t xml:space="preserve">Validação pós-execução: health check, ping, chamada a API de saúde, verificação de logs</w:t>
      </w:r>
    </w:p>
    <w:p>
      <w:pPr>
        <w:pStyle w:val="ListParagraph"/>
        <w:numPr>
          <w:ilvl w:val="0"/>
          <w:numId w:val="2"/>
        </w:numPr>
        <w:spacing w:before="40" w:after="40"/>
      </w:pPr>
      <w:r>
        <w:rPr>
          <w:rFonts w:ascii="Arial" w:cs="Arial" w:eastAsia="Arial" w:hAnsi="Arial"/>
          <w:color w:val="333333"/>
          <w:sz w:val="20"/>
          <w:szCs w:val="20"/>
        </w:rPr>
        <w:t xml:space="preserve">Actualização automática de tickets no M1: status Resolved by Automation ou Escalated to Analyst</w:t>
      </w:r>
    </w:p>
    <w:p>
      <w:pPr>
        <w:pStyle w:val="ListParagraph"/>
        <w:numPr>
          <w:ilvl w:val="0"/>
          <w:numId w:val="2"/>
        </w:numPr>
        <w:spacing w:before="40" w:after="40"/>
      </w:pPr>
      <w:r>
        <w:rPr>
          <w:rFonts w:ascii="Arial" w:cs="Arial" w:eastAsia="Arial" w:hAnsi="Arial"/>
          <w:color w:val="333333"/>
          <w:sz w:val="20"/>
          <w:szCs w:val="20"/>
        </w:rPr>
        <w:t xml:space="preserve">Retries configuráveis e escalada humana em caso de falha</w:t>
      </w:r>
    </w:p>
    <w:p>
      <w:pPr>
        <w:pStyle w:val="ListParagraph"/>
        <w:numPr>
          <w:ilvl w:val="0"/>
          <w:numId w:val="2"/>
        </w:numPr>
        <w:spacing w:before="40" w:after="40"/>
      </w:pPr>
      <w:r>
        <w:rPr>
          <w:rFonts w:ascii="Arial" w:cs="Arial" w:eastAsia="Arial" w:hAnsi="Arial"/>
          <w:color w:val="333333"/>
          <w:sz w:val="20"/>
          <w:szCs w:val="20"/>
        </w:rPr>
        <w:t xml:space="preserve">Runbooks como código: armazenados em repositório Git, versionados, com review obrigatório antes de activação em produção</w:t>
      </w:r>
    </w:p>
    <w:p>
      <w:pPr>
        <w:pStyle w:val="Heading3"/>
        <w:spacing w:before="200" w:after="80"/>
      </w:pPr>
      <w:r>
        <w:rPr>
          <w:rFonts w:ascii="Arial" w:cs="Arial" w:eastAsia="Arial" w:hAnsi="Arial"/>
          <w:b/>
          <w:bCs/>
          <w:color w:val="185FA5"/>
          <w:sz w:val="24"/>
          <w:szCs w:val="24"/>
        </w:rPr>
        <w:t xml:space="preserve">Stack tecnológica recomendada</w:t>
      </w:r>
    </w:p>
    <w:p>
      <w:pPr>
        <w:pStyle w:val="ListParagraph"/>
        <w:numPr>
          <w:ilvl w:val="0"/>
          <w:numId w:val="2"/>
        </w:numPr>
        <w:spacing w:before="40" w:after="40"/>
      </w:pPr>
      <w:r>
        <w:rPr>
          <w:rFonts w:ascii="Arial" w:cs="Arial" w:eastAsia="Arial" w:hAnsi="Arial"/>
          <w:color w:val="333333"/>
          <w:sz w:val="20"/>
          <w:szCs w:val="20"/>
        </w:rPr>
        <w:t xml:space="preserve">Python: scripts de automação, orquestração de passos, lógica de validação</w:t>
      </w:r>
    </w:p>
    <w:p>
      <w:pPr>
        <w:pStyle w:val="ListParagraph"/>
        <w:numPr>
          <w:ilvl w:val="0"/>
          <w:numId w:val="2"/>
        </w:numPr>
        <w:spacing w:before="40" w:after="40"/>
      </w:pPr>
      <w:r>
        <w:rPr>
          <w:rFonts w:ascii="Arial" w:cs="Arial" w:eastAsia="Arial" w:hAnsi="Arial"/>
          <w:color w:val="333333"/>
          <w:sz w:val="20"/>
          <w:szCs w:val="20"/>
        </w:rPr>
        <w:t xml:space="preserve">Runbooks: Ansible YAML para automação de infra; scripts Python para APIs e cloud</w:t>
      </w:r>
    </w:p>
    <w:p>
      <w:pPr>
        <w:pStyle w:val="ListParagraph"/>
        <w:numPr>
          <w:ilvl w:val="0"/>
          <w:numId w:val="2"/>
        </w:numPr>
        <w:spacing w:before="40" w:after="40"/>
      </w:pPr>
      <w:r>
        <w:rPr>
          <w:rFonts w:ascii="Arial" w:cs="Arial" w:eastAsia="Arial" w:hAnsi="Arial"/>
          <w:color w:val="333333"/>
          <w:sz w:val="20"/>
          <w:szCs w:val="20"/>
        </w:rPr>
        <w:t xml:space="preserve">Secret management: HashiCorp Vault ou AWS Secrets Manager para credenciais de sistemas-alvo</w:t>
      </w:r>
    </w:p>
    <w:p>
      <w:pPr>
        <w:pStyle w:val="ListParagraph"/>
        <w:numPr>
          <w:ilvl w:val="0"/>
          <w:numId w:val="2"/>
        </w:numPr>
        <w:spacing w:before="40" w:after="40"/>
      </w:pPr>
      <w:r>
        <w:rPr>
          <w:rFonts w:ascii="Arial" w:cs="Arial" w:eastAsia="Arial" w:hAnsi="Arial"/>
          <w:color w:val="333333"/>
          <w:sz w:val="20"/>
          <w:szCs w:val="20"/>
        </w:rPr>
        <w:t xml:space="preserve">Event Bus: NATS — subscreve ai.ticket.classified, monitoring.alert.fired; publica automation.executed</w:t>
      </w:r>
    </w:p>
    <w:p>
      <w:pPr>
        <w:pStyle w:val="ListParagraph"/>
        <w:numPr>
          <w:ilvl w:val="0"/>
          <w:numId w:val="2"/>
        </w:numPr>
        <w:spacing w:before="40" w:after="40"/>
      </w:pPr>
      <w:r>
        <w:rPr>
          <w:rFonts w:ascii="Arial" w:cs="Arial" w:eastAsia="Arial" w:hAnsi="Arial"/>
          <w:color w:val="333333"/>
          <w:sz w:val="20"/>
          <w:szCs w:val="20"/>
        </w:rPr>
        <w:t xml:space="preserve">Cloud SDKs: boto3 (AWS), azure-sdk, google-cloud-sdk para runbooks de cloud</w:t>
      </w:r>
    </w:p>
    <w:p>
      <w:pPr>
        <w:pStyle w:val="ListParagraph"/>
        <w:numPr>
          <w:ilvl w:val="0"/>
          <w:numId w:val="2"/>
        </w:numPr>
        <w:spacing w:before="40" w:after="40"/>
      </w:pPr>
      <w:r>
        <w:rPr>
          <w:rFonts w:ascii="Arial" w:cs="Arial" w:eastAsia="Arial" w:hAnsi="Arial"/>
          <w:color w:val="333333"/>
          <w:sz w:val="20"/>
          <w:szCs w:val="20"/>
        </w:rPr>
        <w:t xml:space="preserve">Containerização: Docker para empacotar runbooks e dependências</w:t>
      </w:r>
    </w:p>
    <w:p>
      <w:pPr>
        <w:pStyle w:val="Heading3"/>
        <w:spacing w:before="200" w:after="80"/>
      </w:pPr>
      <w:r>
        <w:rPr>
          <w:rFonts w:ascii="Arial" w:cs="Arial" w:eastAsia="Arial" w:hAnsi="Arial"/>
          <w:b/>
          <w:bCs/>
          <w:color w:val="185FA5"/>
          <w:sz w:val="24"/>
          <w:szCs w:val="24"/>
        </w:rPr>
        <w:t xml:space="preserve">Dependências</w:t>
      </w:r>
    </w:p>
    <w:p>
      <w:pPr>
        <w:spacing w:before="60" w:after="100"/>
      </w:pPr>
      <w:r>
        <w:rPr>
          <w:rFonts w:ascii="Arial" w:cs="Arial" w:eastAsia="Arial" w:hAnsi="Arial"/>
          <w:b/>
          <w:bCs/>
          <w:color w:val="333333"/>
          <w:sz w:val="20"/>
          <w:szCs w:val="20"/>
        </w:rPr>
        <w:t xml:space="preserve">Recebe de: </w:t>
      </w:r>
      <w:r>
        <w:rPr>
          <w:rFonts w:ascii="Arial" w:cs="Arial" w:eastAsia="Arial" w:hAnsi="Arial"/>
          <w:b w:val="false"/>
          <w:bCs w:val="false"/>
          <w:color w:val="333333"/>
          <w:sz w:val="20"/>
          <w:szCs w:val="20"/>
        </w:rPr>
        <w:t xml:space="preserve">M1 (dados de tickets e CIs via eventos). M2 (classificações e entidades extraídas). M11 (alertas de monitoramento). M13 (Hub para sistemas externos-alvo da automação).</w:t>
      </w:r>
    </w:p>
    <w:p>
      <w:pPr>
        <w:spacing w:before="60" w:after="100"/>
      </w:pPr>
      <w:r>
        <w:rPr>
          <w:rFonts w:ascii="Arial" w:cs="Arial" w:eastAsia="Arial" w:hAnsi="Arial"/>
          <w:b/>
          <w:bCs/>
          <w:color w:val="333333"/>
          <w:sz w:val="20"/>
          <w:szCs w:val="20"/>
        </w:rPr>
        <w:t xml:space="preserve">Fornece para: </w:t>
      </w:r>
      <w:r>
        <w:rPr>
          <w:rFonts w:ascii="Arial" w:cs="Arial" w:eastAsia="Arial" w:hAnsi="Arial"/>
          <w:b w:val="false"/>
          <w:bCs w:val="false"/>
          <w:color w:val="333333"/>
          <w:sz w:val="20"/>
          <w:szCs w:val="20"/>
        </w:rPr>
        <w:t xml:space="preserve">M1 (actualiza status e notas em tickets). M6 (tempo economizado por analistas). M9 (taxas de automação, MTTR). M10 (logs de execução para auditoria). M15 (pontos por automação bem-sucedida).</w:t>
      </w:r>
    </w:p>
    <w:p>
      <w:pPr>
        <w:pStyle w:val="Heading3"/>
        <w:spacing w:before="200" w:after="80"/>
      </w:pPr>
      <w:r>
        <w:rPr>
          <w:rFonts w:ascii="Arial" w:cs="Arial" w:eastAsia="Arial" w:hAnsi="Arial"/>
          <w:b/>
          <w:bCs/>
          <w:color w:val="185FA5"/>
          <w:sz w:val="24"/>
          <w:szCs w:val="24"/>
        </w:rPr>
        <w:t xml:space="preserve">Métricas de sucesso</w:t>
      </w:r>
    </w:p>
    <w:p>
      <w:pPr>
        <w:pStyle w:val="ListParagraph"/>
        <w:numPr>
          <w:ilvl w:val="0"/>
          <w:numId w:val="2"/>
        </w:numPr>
        <w:spacing w:before="40" w:after="40"/>
      </w:pPr>
      <w:r>
        <w:rPr>
          <w:rFonts w:ascii="Arial" w:cs="Arial" w:eastAsia="Arial" w:hAnsi="Arial"/>
          <w:color w:val="333333"/>
          <w:sz w:val="20"/>
          <w:szCs w:val="20"/>
        </w:rPr>
        <w:t xml:space="preserve">Taxa de automação: % de incidentes resolvidos automaticamente</w:t>
      </w:r>
    </w:p>
    <w:p>
      <w:pPr>
        <w:pStyle w:val="ListParagraph"/>
        <w:numPr>
          <w:ilvl w:val="0"/>
          <w:numId w:val="2"/>
        </w:numPr>
        <w:spacing w:before="40" w:after="40"/>
      </w:pPr>
      <w:r>
        <w:rPr>
          <w:rFonts w:ascii="Arial" w:cs="Arial" w:eastAsia="Arial" w:hAnsi="Arial"/>
          <w:color w:val="333333"/>
          <w:sz w:val="20"/>
          <w:szCs w:val="20"/>
        </w:rPr>
        <w:t xml:space="preserve">Taxa de sucesso da automação: % de execuções com resolução validada ≥ 85%</w:t>
      </w:r>
    </w:p>
    <w:p>
      <w:pPr>
        <w:pStyle w:val="ListParagraph"/>
        <w:numPr>
          <w:ilvl w:val="0"/>
          <w:numId w:val="2"/>
        </w:numPr>
        <w:spacing w:before="40" w:after="40"/>
      </w:pPr>
      <w:r>
        <w:rPr>
          <w:rFonts w:ascii="Arial" w:cs="Arial" w:eastAsia="Arial" w:hAnsi="Arial"/>
          <w:color w:val="333333"/>
          <w:sz w:val="20"/>
          <w:szCs w:val="20"/>
        </w:rPr>
        <w:t xml:space="preserve">Redução do MTTR para problemas auto-curados vs. resolução manual</w:t>
      </w:r>
    </w:p>
    <w:p>
      <w:pPr>
        <w:pStyle w:val="ListParagraph"/>
        <w:numPr>
          <w:ilvl w:val="0"/>
          <w:numId w:val="2"/>
        </w:numPr>
        <w:spacing w:before="40" w:after="40"/>
      </w:pPr>
      <w:r>
        <w:rPr>
          <w:rFonts w:ascii="Arial" w:cs="Arial" w:eastAsia="Arial" w:hAnsi="Arial"/>
          <w:color w:val="333333"/>
          <w:sz w:val="20"/>
          <w:szCs w:val="20"/>
        </w:rPr>
        <w:t xml:space="preserve">Tempo médio de execução de runbook &lt; 2 minutos para acções simples</w:t>
      </w:r>
    </w:p>
    <w:p>
      <w:pPr>
        <w:pStyle w:val="ListParagraph"/>
        <w:numPr>
          <w:ilvl w:val="0"/>
          <w:numId w:val="2"/>
        </w:numPr>
        <w:spacing w:before="40" w:after="40"/>
      </w:pPr>
      <w:r>
        <w:rPr>
          <w:rFonts w:ascii="Arial" w:cs="Arial" w:eastAsia="Arial" w:hAnsi="Arial"/>
          <w:color w:val="333333"/>
          <w:sz w:val="20"/>
          <w:szCs w:val="20"/>
        </w:rPr>
        <w:t xml:space="preserve">Taxa de reincidência para problemas auto-curados</w:t>
      </w:r>
    </w:p>
    <w:p>
      <w:pPr>
        <w:pStyle w:val="Heading3"/>
        <w:spacing w:before="200" w:after="80"/>
      </w:pPr>
      <w:r>
        <w:rPr>
          <w:rFonts w:ascii="Arial" w:cs="Arial" w:eastAsia="Arial" w:hAnsi="Arial"/>
          <w:b/>
          <w:bCs/>
          <w:color w:val="185FA5"/>
          <w:sz w:val="24"/>
          <w:szCs w:val="24"/>
        </w:rPr>
        <w:t xml:space="preserve">Gaps identificados e ajustes nesta versão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12B13" w:sz="6"/>
              <w:left w:val="single" w:color="712B13" w:sz="1"/>
              <w:bottom w:val="single" w:color="712B13" w:sz="1"/>
              <w:right w:val="single" w:color="712B13" w:sz="1"/>
            </w:tcBorders>
            <w:shd w:fill="FAECE7" w:val="clear"/>
            <w:tcMar>
              <w:top w:type="dxa" w:w="100"/>
              <w:left w:type="dxa" w:w="160"/>
              <w:bottom w:type="dxa" w:w="100"/>
              <w:right w:type="dxa" w:w="160"/>
            </w:tcMar>
          </w:tcPr>
          <w:p>
            <w:pPr>
              <w:spacing w:before="0" w:after="60"/>
            </w:pPr>
            <w:r>
              <w:rPr>
                <w:rFonts w:ascii="Arial" w:cs="Arial" w:eastAsia="Arial" w:hAnsi="Arial"/>
                <w:b/>
                <w:bCs/>
                <w:color w:val="712B13"/>
                <w:sz w:val="18"/>
                <w:szCs w:val="18"/>
              </w:rPr>
              <w:t xml:space="preserve">Triggers via Event Bus (não REST directo)</w:t>
            </w:r>
          </w:p>
          <w:p>
            <w:pPr>
              <w:spacing w:before="0" w:after="0"/>
            </w:pPr>
            <w:r>
              <w:rPr>
                <w:rFonts w:ascii="Arial" w:cs="Arial" w:eastAsia="Arial" w:hAnsi="Arial"/>
                <w:color w:val="333333"/>
                <w:sz w:val="20"/>
                <w:szCs w:val="20"/>
              </w:rPr>
              <w:t xml:space="preserve">A versão original descrevia triggers via chamadas directas do M2 e M11. Esta versão define que o M3 subscreve eventos NATS: ai.ticket.classified (de M2) e monitoring.alert.fired (de M11). O matching com o catálogo de soluções é feito localmente no M3, sem dependência de runtime nos módulos produtores.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33806" w:sz="6"/>
              <w:left w:val="single" w:color="633806" w:sz="1"/>
              <w:bottom w:val="single" w:color="633806" w:sz="1"/>
              <w:right w:val="single" w:color="633806" w:sz="1"/>
            </w:tcBorders>
            <w:shd w:fill="FAEEDA" w:val="clear"/>
            <w:tcMar>
              <w:top w:type="dxa" w:w="100"/>
              <w:left w:type="dxa" w:w="160"/>
              <w:bottom w:type="dxa" w:w="100"/>
              <w:right w:type="dxa" w:w="160"/>
            </w:tcMar>
          </w:tcPr>
          <w:p>
            <w:pPr>
              <w:spacing w:before="0" w:after="60"/>
            </w:pPr>
            <w:r>
              <w:rPr>
                <w:rFonts w:ascii="Arial" w:cs="Arial" w:eastAsia="Arial" w:hAnsi="Arial"/>
                <w:b/>
                <w:bCs/>
                <w:color w:val="633806"/>
                <w:sz w:val="18"/>
                <w:szCs w:val="18"/>
              </w:rPr>
              <w:t xml:space="preserve">Runbooks como código com review obrigatório</w:t>
            </w:r>
          </w:p>
          <w:p>
            <w:pPr>
              <w:spacing w:before="0" w:after="0"/>
            </w:pPr>
            <w:r>
              <w:rPr>
                <w:rFonts w:ascii="Arial" w:cs="Arial" w:eastAsia="Arial" w:hAnsi="Arial"/>
                <w:color w:val="333333"/>
                <w:sz w:val="20"/>
                <w:szCs w:val="20"/>
              </w:rPr>
              <w:t xml:space="preserve">Os runbooks são armazenados num repositório Git dedicado (separado do codebase da aplicação). Toda a activação de um novo runbook em ambiente de produção requer pull request com revisão de pelo menos 2 engenheiros. Runbooks em staging podem ser activados com aprovação de 1 engenheiro. Esta medida previne execuções automáticas de scripts não revistos em produção.</w:t>
            </w:r>
          </w:p>
        </w:tc>
      </w:tr>
    </w:tbl>
    <w:p>
      <w:pPr>
        <w:spacing w:before="0" w:after="80"/>
      </w:pPr>
      <w:r>
        <w:t xml:space="preserve"/>
      </w:r>
    </w:p>
    <w:p>
      <w:pPr>
        <w:pStyle w:val="Heading3"/>
        <w:spacing w:before="200" w:after="80"/>
      </w:pPr>
      <w:r>
        <w:rPr>
          <w:rFonts w:ascii="Arial" w:cs="Arial" w:eastAsia="Arial" w:hAnsi="Arial"/>
          <w:b/>
          <w:bCs/>
          <w:color w:val="185FA5"/>
          <w:sz w:val="24"/>
          <w:szCs w:val="24"/>
        </w:rPr>
        <w:t xml:space="preserve">Modelo de dados — entidades principais</w:t>
      </w:r>
    </w:p>
    <w:p>
      <w:pPr>
        <w:spacing w:before="60" w:after="100"/>
        <w:jc w:val="left"/>
      </w:pPr>
      <w:r>
        <w:rPr>
          <w:rFonts w:ascii="Arial" w:cs="Arial" w:eastAsia="Arial" w:hAnsi="Arial"/>
          <w:color w:val="333333"/>
          <w:sz w:val="20"/>
          <w:szCs w:val="20"/>
        </w:rPr>
        <w:t xml:space="preserve">AutomatedSolution (id, tenant_id, name, problem_match_criteria_json, runbook_id, expected_parameters_json, validation_check_json, is_active). Runbook (id, tenant_id, name, script_path, git_commit_hash, language, version, approved_by). AutomationExecutionLog (id, tenant_id, automated_solution_id, ticket_id, trigger_source, parameters_used_json, start_time, end_time, status, output_log, validation_result_json).</w:t>
      </w:r>
    </w:p>
    <w:p>
      <w:pPr>
        <w:spacing w:before="0" w:after="200"/>
      </w:pPr>
      <w:r>
        <w:t xml:space="preserve"/>
      </w:r>
    </w:p>
    <w:p>
      <w:pPr>
        <w:pBdr>
          <w:bottom w:val="single" w:color="185FA5" w:sz="6" w:space="1"/>
        </w:pBdr>
        <w:spacing w:before="120" w:after="120"/>
      </w:pPr>
      <w:r>
        <w:t xml:space="preserve"/>
      </w:r>
    </w:p>
    <w:p>
      <w:pPr>
        <w:pStyle w:val="Heading2"/>
        <w:spacing w:before="280" w:after="80"/>
      </w:pPr>
      <w:r>
        <w:rPr>
          <w:rFonts w:ascii="Arial" w:cs="Arial" w:eastAsia="Arial" w:hAnsi="Arial"/>
          <w:b/>
          <w:bCs/>
          <w:color w:val="185FA5"/>
          <w:sz w:val="28"/>
          <w:szCs w:val="28"/>
        </w:rPr>
        <w:t xml:space="preserve">M4: Camada de Conhecimento de IA  </w:t>
      </w:r>
      <w:r>
        <w:rPr>
          <w:rFonts w:ascii="Arial" w:cs="Arial" w:eastAsia="Arial" w:hAnsi="Arial"/>
          <w:b w:val="false"/>
          <w:bCs w:val="false"/>
          <w:color w:val="888888"/>
          <w:sz w:val="20"/>
          <w:szCs w:val="20"/>
        </w:rPr>
        <w:t xml:space="preserve">[IA]</w:t>
      </w:r>
    </w:p>
    <w:p>
      <w:pPr>
        <w:spacing w:before="60" w:after="100"/>
        <w:jc w:val="left"/>
      </w:pPr>
      <w:r>
        <w:rPr>
          <w:rFonts w:ascii="Arial" w:cs="Arial" w:eastAsia="Arial" w:hAnsi="Arial"/>
          <w:color w:val="888888"/>
          <w:sz w:val="18"/>
          <w:szCs w:val="18"/>
        </w:rPr>
        <w:t xml:space="preserve">Fase de entrega: Fase 1  |  Estado: Detalhado — actualizado v3</w:t>
      </w:r>
    </w:p>
    <w:p>
      <w:pPr>
        <w:spacing w:before="0" w:after="60"/>
      </w:pPr>
      <w:r>
        <w:t xml:space="preserve"/>
      </w:r>
    </w:p>
    <w:p>
      <w:pPr>
        <w:pStyle w:val="Heading3"/>
        <w:spacing w:before="200" w:after="80"/>
      </w:pPr>
      <w:r>
        <w:rPr>
          <w:rFonts w:ascii="Arial" w:cs="Arial" w:eastAsia="Arial" w:hAnsi="Arial"/>
          <w:b/>
          <w:bCs/>
          <w:color w:val="185FA5"/>
          <w:sz w:val="24"/>
          <w:szCs w:val="24"/>
        </w:rPr>
        <w:t xml:space="preserve">Objectivo principal</w:t>
      </w:r>
    </w:p>
    <w:p>
      <w:pPr>
        <w:spacing w:before="60" w:after="100"/>
        <w:jc w:val="left"/>
      </w:pPr>
      <w:r>
        <w:rPr>
          <w:rFonts w:ascii="Arial" w:cs="Arial" w:eastAsia="Arial" w:hAnsi="Arial"/>
          <w:color w:val="333333"/>
          <w:sz w:val="20"/>
          <w:szCs w:val="20"/>
        </w:rPr>
        <w:t xml:space="preserve">Actualizar, versionar e distribuir artigos da base de conhecimento de forma inteligente. Vincula automaticamente soluções validadas, elimina duplicidades e garante que a KB é um recurso dinâmico. A partir desta versão, utiliza pgvector para busca semântica (eliminando a necessidade de Elasticsearch na Fase 1) e remove dependências de M21/M22 até serem especificados.</w:t>
      </w:r>
    </w:p>
    <w:p>
      <w:pPr>
        <w:pStyle w:val="Heading3"/>
        <w:spacing w:before="200" w:after="80"/>
      </w:pPr>
      <w:r>
        <w:rPr>
          <w:rFonts w:ascii="Arial" w:cs="Arial" w:eastAsia="Arial" w:hAnsi="Arial"/>
          <w:b/>
          <w:bCs/>
          <w:color w:val="185FA5"/>
          <w:sz w:val="24"/>
          <w:szCs w:val="24"/>
        </w:rPr>
        <w:t xml:space="preserve">Funcionalidades MVP</w:t>
      </w:r>
    </w:p>
    <w:p>
      <w:pPr>
        <w:pStyle w:val="ListParagraph"/>
        <w:numPr>
          <w:ilvl w:val="0"/>
          <w:numId w:val="2"/>
        </w:numPr>
        <w:spacing w:before="40" w:after="40"/>
      </w:pPr>
      <w:r>
        <w:rPr>
          <w:rFonts w:ascii="Arial" w:cs="Arial" w:eastAsia="Arial" w:hAnsi="Arial"/>
          <w:color w:val="333333"/>
          <w:sz w:val="20"/>
          <w:szCs w:val="20"/>
        </w:rPr>
        <w:t xml:space="preserve">Gestão CRUD de artigos: título, conteúdo, categoria, tags, status (Draft → Published → Archived), versioning, workflow de aprovação</w:t>
      </w:r>
    </w:p>
    <w:p>
      <w:pPr>
        <w:pStyle w:val="ListParagraph"/>
        <w:numPr>
          <w:ilvl w:val="0"/>
          <w:numId w:val="2"/>
        </w:numPr>
        <w:spacing w:before="40" w:after="40"/>
      </w:pPr>
      <w:r>
        <w:rPr>
          <w:rFonts w:ascii="Arial" w:cs="Arial" w:eastAsia="Arial" w:hAnsi="Arial"/>
          <w:color w:val="333333"/>
          <w:sz w:val="20"/>
          <w:szCs w:val="20"/>
        </w:rPr>
        <w:t xml:space="preserve">Busca semântica: embeddings armazenados no pgvector; busca por similaridade coseno integrada no PostgreSQL do M1</w:t>
      </w:r>
    </w:p>
    <w:p>
      <w:pPr>
        <w:pStyle w:val="ListParagraph"/>
        <w:numPr>
          <w:ilvl w:val="0"/>
          <w:numId w:val="2"/>
        </w:numPr>
        <w:spacing w:before="40" w:after="40"/>
      </w:pPr>
      <w:r>
        <w:rPr>
          <w:rFonts w:ascii="Arial" w:cs="Arial" w:eastAsia="Arial" w:hAnsi="Arial"/>
          <w:color w:val="333333"/>
          <w:sz w:val="20"/>
          <w:szCs w:val="20"/>
        </w:rPr>
        <w:t xml:space="preserve">Recomendação de artigos: integração com M2 para sugerir artigos a analistas e utilizadores do portal</w:t>
      </w:r>
    </w:p>
    <w:p>
      <w:pPr>
        <w:pStyle w:val="ListParagraph"/>
        <w:numPr>
          <w:ilvl w:val="0"/>
          <w:numId w:val="2"/>
        </w:numPr>
        <w:spacing w:before="40" w:after="40"/>
      </w:pPr>
      <w:r>
        <w:rPr>
          <w:rFonts w:ascii="Arial" w:cs="Arial" w:eastAsia="Arial" w:hAnsi="Arial"/>
          <w:color w:val="333333"/>
          <w:sz w:val="20"/>
          <w:szCs w:val="20"/>
        </w:rPr>
        <w:t xml:space="preserve">Vinculação de soluções: quando analista fecha ticket, sugere artigo relacionado; regista SolutionLink</w:t>
      </w:r>
    </w:p>
    <w:p>
      <w:pPr>
        <w:pStyle w:val="ListParagraph"/>
        <w:numPr>
          <w:ilvl w:val="0"/>
          <w:numId w:val="2"/>
        </w:numPr>
        <w:spacing w:before="40" w:after="40"/>
      </w:pPr>
      <w:r>
        <w:rPr>
          <w:rFonts w:ascii="Arial" w:cs="Arial" w:eastAsia="Arial" w:hAnsi="Arial"/>
          <w:color w:val="333333"/>
          <w:sz w:val="20"/>
          <w:szCs w:val="20"/>
        </w:rPr>
        <w:t xml:space="preserve">Detecção de duplicidades via IA: scan periódico com similaridade semântica; sugestão de consolidação</w:t>
      </w:r>
    </w:p>
    <w:p>
      <w:pPr>
        <w:pStyle w:val="ListParagraph"/>
        <w:numPr>
          <w:ilvl w:val="0"/>
          <w:numId w:val="2"/>
        </w:numPr>
        <w:spacing w:before="40" w:after="40"/>
      </w:pPr>
      <w:r>
        <w:rPr>
          <w:rFonts w:ascii="Arial" w:cs="Arial" w:eastAsia="Arial" w:hAnsi="Arial"/>
          <w:color w:val="333333"/>
          <w:sz w:val="20"/>
          <w:szCs w:val="20"/>
        </w:rPr>
        <w:t xml:space="preserve">Sugestões de conteúdo: endpoint para módulos externos submeterem sugestões (ContentSuggestion) — preparado para M21/M22 mas sem dependência directa</w:t>
      </w:r>
    </w:p>
    <w:p>
      <w:pPr>
        <w:pStyle w:val="ListParagraph"/>
        <w:numPr>
          <w:ilvl w:val="0"/>
          <w:numId w:val="2"/>
        </w:numPr>
        <w:spacing w:before="40" w:after="40"/>
      </w:pPr>
      <w:r>
        <w:rPr>
          <w:rFonts w:ascii="Arial" w:cs="Arial" w:eastAsia="Arial" w:hAnsi="Arial"/>
          <w:color w:val="333333"/>
          <w:sz w:val="20"/>
          <w:szCs w:val="20"/>
        </w:rPr>
        <w:t xml:space="preserve">Acesso controlado: artigos públicos (portal) vs. internos (analistas). Permissões via RBAC do M1</w:t>
      </w:r>
    </w:p>
    <w:p>
      <w:pPr>
        <w:pStyle w:val="Heading3"/>
        <w:spacing w:before="200" w:after="80"/>
      </w:pPr>
      <w:r>
        <w:rPr>
          <w:rFonts w:ascii="Arial" w:cs="Arial" w:eastAsia="Arial" w:hAnsi="Arial"/>
          <w:b/>
          <w:bCs/>
          <w:color w:val="185FA5"/>
          <w:sz w:val="24"/>
          <w:szCs w:val="24"/>
        </w:rPr>
        <w:t xml:space="preserve">Stack tecnológica recomendada</w:t>
      </w:r>
    </w:p>
    <w:p>
      <w:pPr>
        <w:pStyle w:val="ListParagraph"/>
        <w:numPr>
          <w:ilvl w:val="0"/>
          <w:numId w:val="2"/>
        </w:numPr>
        <w:spacing w:before="40" w:after="40"/>
      </w:pPr>
      <w:r>
        <w:rPr>
          <w:rFonts w:ascii="Arial" w:cs="Arial" w:eastAsia="Arial" w:hAnsi="Arial"/>
          <w:color w:val="333333"/>
          <w:sz w:val="20"/>
          <w:szCs w:val="20"/>
        </w:rPr>
        <w:t xml:space="preserve">Backend: Python/FastAPI ou partilha o serviço do M1 (monólito modular na Fase 1)</w:t>
      </w:r>
    </w:p>
    <w:p>
      <w:pPr>
        <w:pStyle w:val="ListParagraph"/>
        <w:numPr>
          <w:ilvl w:val="0"/>
          <w:numId w:val="2"/>
        </w:numPr>
        <w:spacing w:before="40" w:after="40"/>
      </w:pPr>
      <w:r>
        <w:rPr>
          <w:rFonts w:ascii="Arial" w:cs="Arial" w:eastAsia="Arial" w:hAnsi="Arial"/>
          <w:color w:val="333333"/>
          <w:sz w:val="20"/>
          <w:szCs w:val="20"/>
        </w:rPr>
        <w:t xml:space="preserve">Vector search: pgvector (extensão PostgreSQL) — elimina necessidade de Elasticsearch na Fase 1</w:t>
      </w:r>
    </w:p>
    <w:p>
      <w:pPr>
        <w:pStyle w:val="ListParagraph"/>
        <w:numPr>
          <w:ilvl w:val="0"/>
          <w:numId w:val="2"/>
        </w:numPr>
        <w:spacing w:before="40" w:after="40"/>
      </w:pPr>
      <w:r>
        <w:rPr>
          <w:rFonts w:ascii="Arial" w:cs="Arial" w:eastAsia="Arial" w:hAnsi="Arial"/>
          <w:color w:val="333333"/>
          <w:sz w:val="20"/>
          <w:szCs w:val="20"/>
        </w:rPr>
        <w:t xml:space="preserve">Embeddings: sentence-transformers (all-MiniLM-L6-v2) para geração de embeddings de artigos</w:t>
      </w:r>
    </w:p>
    <w:p>
      <w:pPr>
        <w:pStyle w:val="ListParagraph"/>
        <w:numPr>
          <w:ilvl w:val="0"/>
          <w:numId w:val="2"/>
        </w:numPr>
        <w:spacing w:before="40" w:after="40"/>
      </w:pPr>
      <w:r>
        <w:rPr>
          <w:rFonts w:ascii="Arial" w:cs="Arial" w:eastAsia="Arial" w:hAnsi="Arial"/>
          <w:color w:val="333333"/>
          <w:sz w:val="20"/>
          <w:szCs w:val="20"/>
        </w:rPr>
        <w:t xml:space="preserve">Editor de conteúdo: API aceita Markdown; renderização no frontend com React</w:t>
      </w:r>
    </w:p>
    <w:p>
      <w:pPr>
        <w:pStyle w:val="ListParagraph"/>
        <w:numPr>
          <w:ilvl w:val="0"/>
          <w:numId w:val="2"/>
        </w:numPr>
        <w:spacing w:before="40" w:after="40"/>
      </w:pPr>
      <w:r>
        <w:rPr>
          <w:rFonts w:ascii="Arial" w:cs="Arial" w:eastAsia="Arial" w:hAnsi="Arial"/>
          <w:color w:val="333333"/>
          <w:sz w:val="20"/>
          <w:szCs w:val="20"/>
        </w:rPr>
        <w:t xml:space="preserve">Event Bus: subscreve ticket.closed para sugerir vinculação de artigos; publica kb.article.published</w:t>
      </w:r>
    </w:p>
    <w:p>
      <w:pPr>
        <w:pStyle w:val="Heading3"/>
        <w:spacing w:before="200" w:after="80"/>
      </w:pPr>
      <w:r>
        <w:rPr>
          <w:rFonts w:ascii="Arial" w:cs="Arial" w:eastAsia="Arial" w:hAnsi="Arial"/>
          <w:b/>
          <w:bCs/>
          <w:color w:val="185FA5"/>
          <w:sz w:val="24"/>
          <w:szCs w:val="24"/>
        </w:rPr>
        <w:t xml:space="preserve">Dependências</w:t>
      </w:r>
    </w:p>
    <w:p>
      <w:pPr>
        <w:spacing w:before="60" w:after="100"/>
      </w:pPr>
      <w:r>
        <w:rPr>
          <w:rFonts w:ascii="Arial" w:cs="Arial" w:eastAsia="Arial" w:hAnsi="Arial"/>
          <w:b/>
          <w:bCs/>
          <w:color w:val="333333"/>
          <w:sz w:val="20"/>
          <w:szCs w:val="20"/>
        </w:rPr>
        <w:t xml:space="preserve">Recebe de: </w:t>
      </w:r>
      <w:r>
        <w:rPr>
          <w:rFonts w:ascii="Arial" w:cs="Arial" w:eastAsia="Arial" w:hAnsi="Arial"/>
          <w:b w:val="false"/>
          <w:bCs w:val="false"/>
          <w:color w:val="333333"/>
          <w:sz w:val="20"/>
          <w:szCs w:val="20"/>
        </w:rPr>
        <w:t xml:space="preserve">M1 (tickets para vinculação, utilizadores para autoria/aprovação, portal para exibição). M2 (requisições de recomendação de artigos).</w:t>
      </w:r>
    </w:p>
    <w:p>
      <w:pPr>
        <w:spacing w:before="60" w:after="100"/>
      </w:pPr>
      <w:r>
        <w:rPr>
          <w:rFonts w:ascii="Arial" w:cs="Arial" w:eastAsia="Arial" w:hAnsi="Arial"/>
          <w:b/>
          <w:bCs/>
          <w:color w:val="333333"/>
          <w:sz w:val="20"/>
          <w:szCs w:val="20"/>
        </w:rPr>
        <w:t xml:space="preserve">Fornece para: </w:t>
      </w:r>
      <w:r>
        <w:rPr>
          <w:rFonts w:ascii="Arial" w:cs="Arial" w:eastAsia="Arial" w:hAnsi="Arial"/>
          <w:b w:val="false"/>
          <w:bCs w:val="false"/>
          <w:color w:val="333333"/>
          <w:sz w:val="20"/>
          <w:szCs w:val="20"/>
        </w:rPr>
        <w:t xml:space="preserve">M1 (artigos exibidos no portal). M2 (corpus de artigos para recomendações). M3 (referência a artigos em logs de automação). M6 (eficácia dos artigos na resolução). M8 (sugestões de novos artigos para preencher skill gaps). M18 (artigos integrados em propostas).</w:t>
      </w:r>
    </w:p>
    <w:p>
      <w:pPr>
        <w:pStyle w:val="Heading3"/>
        <w:spacing w:before="200" w:after="80"/>
      </w:pPr>
      <w:r>
        <w:rPr>
          <w:rFonts w:ascii="Arial" w:cs="Arial" w:eastAsia="Arial" w:hAnsi="Arial"/>
          <w:b/>
          <w:bCs/>
          <w:color w:val="185FA5"/>
          <w:sz w:val="24"/>
          <w:szCs w:val="24"/>
        </w:rPr>
        <w:t xml:space="preserve">Métricas de sucesso</w:t>
      </w:r>
    </w:p>
    <w:p>
      <w:pPr>
        <w:pStyle w:val="ListParagraph"/>
        <w:numPr>
          <w:ilvl w:val="0"/>
          <w:numId w:val="2"/>
        </w:numPr>
        <w:spacing w:before="40" w:after="40"/>
      </w:pPr>
      <w:r>
        <w:rPr>
          <w:rFonts w:ascii="Arial" w:cs="Arial" w:eastAsia="Arial" w:hAnsi="Arial"/>
          <w:color w:val="333333"/>
          <w:sz w:val="20"/>
          <w:szCs w:val="20"/>
        </w:rPr>
        <w:t xml:space="preserve">Taxa de utilização da KB: % de tickets resolvidos com auxílio de artigo ≥ 30% no primeiro mês</w:t>
      </w:r>
    </w:p>
    <w:p>
      <w:pPr>
        <w:pStyle w:val="ListParagraph"/>
        <w:numPr>
          <w:ilvl w:val="0"/>
          <w:numId w:val="2"/>
        </w:numPr>
        <w:spacing w:before="40" w:after="40"/>
      </w:pPr>
      <w:r>
        <w:rPr>
          <w:rFonts w:ascii="Arial" w:cs="Arial" w:eastAsia="Arial" w:hAnsi="Arial"/>
          <w:color w:val="333333"/>
          <w:sz w:val="20"/>
          <w:szCs w:val="20"/>
        </w:rPr>
        <w:t xml:space="preserve">Precisão das recomendações: % de artigos recomendados considerados úteis pelo analista ≥ 65%</w:t>
      </w:r>
    </w:p>
    <w:p>
      <w:pPr>
        <w:pStyle w:val="ListParagraph"/>
        <w:numPr>
          <w:ilvl w:val="0"/>
          <w:numId w:val="2"/>
        </w:numPr>
        <w:spacing w:before="40" w:after="40"/>
      </w:pPr>
      <w:r>
        <w:rPr>
          <w:rFonts w:ascii="Arial" w:cs="Arial" w:eastAsia="Arial" w:hAnsi="Arial"/>
          <w:color w:val="333333"/>
          <w:sz w:val="20"/>
          <w:szCs w:val="20"/>
        </w:rPr>
        <w:t xml:space="preserve">Redução de tickets repetidos para problemas documentados na KB</w:t>
      </w:r>
    </w:p>
    <w:p>
      <w:pPr>
        <w:pStyle w:val="ListParagraph"/>
        <w:numPr>
          <w:ilvl w:val="0"/>
          <w:numId w:val="2"/>
        </w:numPr>
        <w:spacing w:before="40" w:after="40"/>
      </w:pPr>
      <w:r>
        <w:rPr>
          <w:rFonts w:ascii="Arial" w:cs="Arial" w:eastAsia="Arial" w:hAnsi="Arial"/>
          <w:color w:val="333333"/>
          <w:sz w:val="20"/>
          <w:szCs w:val="20"/>
        </w:rPr>
        <w:t xml:space="preserve">Taxa de aceitação de sugestões de duplicidade ≥ 50%</w:t>
      </w:r>
    </w:p>
    <w:p>
      <w:pPr>
        <w:pStyle w:val="ListParagraph"/>
        <w:numPr>
          <w:ilvl w:val="0"/>
          <w:numId w:val="2"/>
        </w:numPr>
        <w:spacing w:before="40" w:after="40"/>
      </w:pPr>
      <w:r>
        <w:rPr>
          <w:rFonts w:ascii="Arial" w:cs="Arial" w:eastAsia="Arial" w:hAnsi="Arial"/>
          <w:color w:val="333333"/>
          <w:sz w:val="20"/>
          <w:szCs w:val="20"/>
        </w:rPr>
        <w:t xml:space="preserve">Tempo de busca semântica &lt; 100ms (P95) com pgvector</w:t>
      </w:r>
    </w:p>
    <w:p>
      <w:pPr>
        <w:pStyle w:val="Heading3"/>
        <w:spacing w:before="200" w:after="80"/>
      </w:pPr>
      <w:r>
        <w:rPr>
          <w:rFonts w:ascii="Arial" w:cs="Arial" w:eastAsia="Arial" w:hAnsi="Arial"/>
          <w:b/>
          <w:bCs/>
          <w:color w:val="185FA5"/>
          <w:sz w:val="24"/>
          <w:szCs w:val="24"/>
        </w:rPr>
        <w:t xml:space="preserve">Gaps identificados e ajustes nesta versão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33806" w:sz="6"/>
              <w:left w:val="single" w:color="633806" w:sz="1"/>
              <w:bottom w:val="single" w:color="633806" w:sz="1"/>
              <w:right w:val="single" w:color="633806" w:sz="1"/>
            </w:tcBorders>
            <w:shd w:fill="FAEEDA" w:val="clear"/>
            <w:tcMar>
              <w:top w:type="dxa" w:w="100"/>
              <w:left w:type="dxa" w:w="160"/>
              <w:bottom w:type="dxa" w:w="100"/>
              <w:right w:type="dxa" w:w="160"/>
            </w:tcMar>
          </w:tcPr>
          <w:p>
            <w:pPr>
              <w:spacing w:before="0" w:after="60"/>
            </w:pPr>
            <w:r>
              <w:rPr>
                <w:rFonts w:ascii="Arial" w:cs="Arial" w:eastAsia="Arial" w:hAnsi="Arial"/>
                <w:b/>
                <w:bCs/>
                <w:color w:val="633806"/>
                <w:sz w:val="18"/>
                <w:szCs w:val="18"/>
              </w:rPr>
              <w:t xml:space="preserve">Elasticsearch substituído por pgvector na Fase 1</w:t>
            </w:r>
          </w:p>
          <w:p>
            <w:pPr>
              <w:spacing w:before="0" w:after="0"/>
            </w:pPr>
            <w:r>
              <w:rPr>
                <w:rFonts w:ascii="Arial" w:cs="Arial" w:eastAsia="Arial" w:hAnsi="Arial"/>
                <w:color w:val="333333"/>
                <w:sz w:val="20"/>
                <w:szCs w:val="20"/>
              </w:rPr>
              <w:t xml:space="preserve">A documentação original recomendava Elasticsearch para busca semântica. Esta versão utiliza pgvector (extensão nativa do PostgreSQL) para Fases 1 e 2, eliminando um serviço adicional. A migração para Qdrant ou Elasticsearch é documentada como upgrade path para Fase 3 quando o volume de artigos ultrapassar 50k ou a latência de busca exceder 200ms.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33806" w:sz="6"/>
              <w:left w:val="single" w:color="633806" w:sz="1"/>
              <w:bottom w:val="single" w:color="633806" w:sz="1"/>
              <w:right w:val="single" w:color="633806" w:sz="1"/>
            </w:tcBorders>
            <w:shd w:fill="FAEEDA" w:val="clear"/>
            <w:tcMar>
              <w:top w:type="dxa" w:w="100"/>
              <w:left w:type="dxa" w:w="160"/>
              <w:bottom w:type="dxa" w:w="100"/>
              <w:right w:type="dxa" w:w="160"/>
            </w:tcMar>
          </w:tcPr>
          <w:p>
            <w:pPr>
              <w:spacing w:before="0" w:after="60"/>
            </w:pPr>
            <w:r>
              <w:rPr>
                <w:rFonts w:ascii="Arial" w:cs="Arial" w:eastAsia="Arial" w:hAnsi="Arial"/>
                <w:b/>
                <w:bCs/>
                <w:color w:val="633806"/>
                <w:sz w:val="18"/>
                <w:szCs w:val="18"/>
              </w:rPr>
              <w:t xml:space="preserve">Dependências de M21/M22 removidas da Fase 1</w:t>
            </w:r>
          </w:p>
          <w:p>
            <w:pPr>
              <w:spacing w:before="0" w:after="0"/>
            </w:pPr>
            <w:r>
              <w:rPr>
                <w:rFonts w:ascii="Arial" w:cs="Arial" w:eastAsia="Arial" w:hAnsi="Arial"/>
                <w:color w:val="333333"/>
                <w:sz w:val="20"/>
                <w:szCs w:val="20"/>
              </w:rPr>
              <w:t xml:space="preserve">As referências a M21 (RFPs) e M22 (transição pós go-live) como fontes de sugestões de conteúdo foram removidas dos módulos de Fase 1–3. O endpoint ContentSuggestion permanece disponível como API genérica que qualquer módulo futuro (incluindo M21/M22) pode invocar via M13. Não há dependência de runtime de módulos não especificados.</w:t>
            </w:r>
          </w:p>
        </w:tc>
      </w:tr>
    </w:tbl>
    <w:p>
      <w:pPr>
        <w:spacing w:before="0" w:after="80"/>
      </w:pPr>
      <w:r>
        <w:t xml:space="preserve"/>
      </w:r>
    </w:p>
    <w:p>
      <w:pPr>
        <w:pStyle w:val="Heading3"/>
        <w:spacing w:before="200" w:after="80"/>
      </w:pPr>
      <w:r>
        <w:rPr>
          <w:rFonts w:ascii="Arial" w:cs="Arial" w:eastAsia="Arial" w:hAnsi="Arial"/>
          <w:b/>
          <w:bCs/>
          <w:color w:val="185FA5"/>
          <w:sz w:val="24"/>
          <w:szCs w:val="24"/>
        </w:rPr>
        <w:t xml:space="preserve">Modelo de dados — entidades principais</w:t>
      </w:r>
    </w:p>
    <w:p>
      <w:pPr>
        <w:spacing w:before="60" w:after="100"/>
        <w:jc w:val="left"/>
      </w:pPr>
      <w:r>
        <w:rPr>
          <w:rFonts w:ascii="Arial" w:cs="Arial" w:eastAsia="Arial" w:hAnsi="Arial"/>
          <w:color w:val="333333"/>
          <w:sz w:val="20"/>
          <w:szCs w:val="20"/>
        </w:rPr>
        <w:t xml:space="preserve">KnowledgeArticle (id, tenant_id, title, content, content_embedding vector(384), category_id, tags, status_id, current_version_id, author_user_id, is_public, view_count, helpful_score, created_at, updated_at). KnowledgeArticleVersion (id, article_id, version_number, content_snapshot, editor_user_id, created_at). ArticleFeedback (id, tenant_id, article_id, user_id, is_helpful, comment, created_at). SolutionLink (id, tenant_id, incident_id, knowledge_article_id, linked_by_user_id, created_at). ContentSuggestion (id, tenant_id, source_module, suggested_title, suggested_content_summary, priority, status, created_at).</w:t>
      </w:r>
    </w:p>
    <w:p>
      <w:pPr>
        <w:spacing w:before="0" w:after="200"/>
      </w:pPr>
      <w:r>
        <w:t xml:space="preserve"/>
      </w:r>
    </w:p>
    <w:p>
      <w:pPr>
        <w:pBdr>
          <w:bottom w:val="single" w:color="185FA5" w:sz="6" w:space="1"/>
        </w:pBdr>
        <w:spacing w:before="120" w:after="120"/>
      </w:pPr>
      <w:r>
        <w:t xml:space="preserve"/>
      </w:r>
    </w:p>
    <w:p>
      <w:pPr>
        <w:pStyle w:val="Heading2"/>
        <w:spacing w:before="280" w:after="80"/>
      </w:pPr>
      <w:r>
        <w:rPr>
          <w:rFonts w:ascii="Arial" w:cs="Arial" w:eastAsia="Arial" w:hAnsi="Arial"/>
          <w:b/>
          <w:bCs/>
          <w:color w:val="185FA5"/>
          <w:sz w:val="28"/>
          <w:szCs w:val="28"/>
        </w:rPr>
        <w:t xml:space="preserve">M9: Relatórios e Dashboards Executivos  </w:t>
      </w:r>
      <w:r>
        <w:rPr>
          <w:rFonts w:ascii="Arial" w:cs="Arial" w:eastAsia="Arial" w:hAnsi="Arial"/>
          <w:b w:val="false"/>
          <w:bCs w:val="false"/>
          <w:color w:val="888888"/>
          <w:sz w:val="20"/>
          <w:szCs w:val="20"/>
        </w:rPr>
        <w:t xml:space="preserve">[Governança]</w:t>
      </w:r>
    </w:p>
    <w:p>
      <w:pPr>
        <w:spacing w:before="60" w:after="100"/>
        <w:jc w:val="left"/>
      </w:pPr>
      <w:r>
        <w:rPr>
          <w:rFonts w:ascii="Arial" w:cs="Arial" w:eastAsia="Arial" w:hAnsi="Arial"/>
          <w:color w:val="888888"/>
          <w:sz w:val="18"/>
          <w:szCs w:val="18"/>
        </w:rPr>
        <w:t xml:space="preserve">Fase de entrega: Fase 2  |  Estado: Detalhado — actualizado v3</w:t>
      </w:r>
    </w:p>
    <w:p>
      <w:pPr>
        <w:spacing w:before="0" w:after="60"/>
      </w:pPr>
      <w:r>
        <w:t xml:space="preserve"/>
      </w:r>
    </w:p>
    <w:p>
      <w:pPr>
        <w:pStyle w:val="Heading3"/>
        <w:spacing w:before="200" w:after="80"/>
      </w:pPr>
      <w:r>
        <w:rPr>
          <w:rFonts w:ascii="Arial" w:cs="Arial" w:eastAsia="Arial" w:hAnsi="Arial"/>
          <w:b/>
          <w:bCs/>
          <w:color w:val="185FA5"/>
          <w:sz w:val="24"/>
          <w:szCs w:val="24"/>
        </w:rPr>
        <w:t xml:space="preserve">Objectivo principal</w:t>
      </w:r>
    </w:p>
    <w:p>
      <w:pPr>
        <w:spacing w:before="60" w:after="100"/>
        <w:jc w:val="left"/>
      </w:pPr>
      <w:r>
        <w:rPr>
          <w:rFonts w:ascii="Arial" w:cs="Arial" w:eastAsia="Arial" w:hAnsi="Arial"/>
          <w:color w:val="333333"/>
          <w:sz w:val="20"/>
          <w:szCs w:val="20"/>
        </w:rPr>
        <w:t xml:space="preserve">Dashboards em tempo real e relatórios consolidados sobre o desempenho de toda a operação ITSM. Capacita executivos e gestores com visão estratégica e operacional. A partir desta versão, utiliza DuckDB como Data Warehouse embutido nas Fases 1–2 (sem necessidade de BigQuery/Redshift imediato) e recebe dados dos módulos via Event Bus em vez de queries directas cross-module.</w:t>
      </w:r>
    </w:p>
    <w:p>
      <w:pPr>
        <w:pStyle w:val="Heading3"/>
        <w:spacing w:before="200" w:after="80"/>
      </w:pPr>
      <w:r>
        <w:rPr>
          <w:rFonts w:ascii="Arial" w:cs="Arial" w:eastAsia="Arial" w:hAnsi="Arial"/>
          <w:b/>
          <w:bCs/>
          <w:color w:val="185FA5"/>
          <w:sz w:val="24"/>
          <w:szCs w:val="24"/>
        </w:rPr>
        <w:t xml:space="preserve">Funcionalidades MVP</w:t>
      </w:r>
    </w:p>
    <w:p>
      <w:pPr>
        <w:pStyle w:val="ListParagraph"/>
        <w:numPr>
          <w:ilvl w:val="0"/>
          <w:numId w:val="2"/>
        </w:numPr>
        <w:spacing w:before="40" w:after="40"/>
      </w:pPr>
      <w:r>
        <w:rPr>
          <w:rFonts w:ascii="Arial" w:cs="Arial" w:eastAsia="Arial" w:hAnsi="Arial"/>
          <w:color w:val="333333"/>
          <w:sz w:val="20"/>
          <w:szCs w:val="20"/>
        </w:rPr>
        <w:t xml:space="preserve">Dashboards pré-configurados: performance ITSM (MTTR, SLA, volume), performance da IA (taxa de automação, precisão), insights de força de trabalho, maturidade e conformidade</w:t>
      </w:r>
    </w:p>
    <w:p>
      <w:pPr>
        <w:pStyle w:val="ListParagraph"/>
        <w:numPr>
          <w:ilvl w:val="0"/>
          <w:numId w:val="2"/>
        </w:numPr>
        <w:spacing w:before="40" w:after="40"/>
      </w:pPr>
      <w:r>
        <w:rPr>
          <w:rFonts w:ascii="Arial" w:cs="Arial" w:eastAsia="Arial" w:hAnsi="Arial"/>
          <w:color w:val="333333"/>
          <w:sz w:val="20"/>
          <w:szCs w:val="20"/>
        </w:rPr>
        <w:t xml:space="preserve">Filtros dinâmicos: por período, grupo de suporte, serviço, CI, analista</w:t>
      </w:r>
    </w:p>
    <w:p>
      <w:pPr>
        <w:pStyle w:val="ListParagraph"/>
        <w:numPr>
          <w:ilvl w:val="0"/>
          <w:numId w:val="2"/>
        </w:numPr>
        <w:spacing w:before="40" w:after="40"/>
      </w:pPr>
      <w:r>
        <w:rPr>
          <w:rFonts w:ascii="Arial" w:cs="Arial" w:eastAsia="Arial" w:hAnsi="Arial"/>
          <w:color w:val="333333"/>
          <w:sz w:val="20"/>
          <w:szCs w:val="20"/>
        </w:rPr>
        <w:t xml:space="preserve">Drill-down básico: de KPI agregado para lista de tickets ou analistas</w:t>
      </w:r>
    </w:p>
    <w:p>
      <w:pPr>
        <w:pStyle w:val="ListParagraph"/>
        <w:numPr>
          <w:ilvl w:val="0"/>
          <w:numId w:val="2"/>
        </w:numPr>
        <w:spacing w:before="40" w:after="40"/>
      </w:pPr>
      <w:r>
        <w:rPr>
          <w:rFonts w:ascii="Arial" w:cs="Arial" w:eastAsia="Arial" w:hAnsi="Arial"/>
          <w:color w:val="333333"/>
          <w:sz w:val="20"/>
          <w:szCs w:val="20"/>
        </w:rPr>
        <w:t xml:space="preserve">Relatórios agendados: PDF/CSV enviados por e-mail (diário, semanal, mensal)</w:t>
      </w:r>
    </w:p>
    <w:p>
      <w:pPr>
        <w:pStyle w:val="ListParagraph"/>
        <w:numPr>
          <w:ilvl w:val="0"/>
          <w:numId w:val="2"/>
        </w:numPr>
        <w:spacing w:before="40" w:after="40"/>
      </w:pPr>
      <w:r>
        <w:rPr>
          <w:rFonts w:ascii="Arial" w:cs="Arial" w:eastAsia="Arial" w:hAnsi="Arial"/>
          <w:color w:val="333333"/>
          <w:sz w:val="20"/>
          <w:szCs w:val="20"/>
        </w:rPr>
        <w:t xml:space="preserve">Alertas sobre KPIs: thresholds configuráveis com notificação in-app e e-mail</w:t>
      </w:r>
    </w:p>
    <w:p>
      <w:pPr>
        <w:pStyle w:val="ListParagraph"/>
        <w:numPr>
          <w:ilvl w:val="0"/>
          <w:numId w:val="2"/>
        </w:numPr>
        <w:spacing w:before="40" w:after="40"/>
      </w:pPr>
      <w:r>
        <w:rPr>
          <w:rFonts w:ascii="Arial" w:cs="Arial" w:eastAsia="Arial" w:hAnsi="Arial"/>
          <w:color w:val="333333"/>
          <w:sz w:val="20"/>
          <w:szCs w:val="20"/>
        </w:rPr>
        <w:t xml:space="preserve">Controlo de acesso por role (RBAC do M1): cada role vê apenas os dashboards permitidos</w:t>
      </w:r>
    </w:p>
    <w:p>
      <w:pPr>
        <w:pStyle w:val="ListParagraph"/>
        <w:numPr>
          <w:ilvl w:val="0"/>
          <w:numId w:val="2"/>
        </w:numPr>
        <w:spacing w:before="40" w:after="40"/>
      </w:pPr>
      <w:r>
        <w:rPr>
          <w:rFonts w:ascii="Arial" w:cs="Arial" w:eastAsia="Arial" w:hAnsi="Arial"/>
          <w:color w:val="333333"/>
          <w:sz w:val="20"/>
          <w:szCs w:val="20"/>
        </w:rPr>
        <w:t xml:space="preserve">Data pipeline: consome eventos do NATS, popula tabelas de factos no DuckDB</w:t>
      </w:r>
    </w:p>
    <w:p>
      <w:pPr>
        <w:pStyle w:val="Heading3"/>
        <w:spacing w:before="200" w:after="80"/>
      </w:pPr>
      <w:r>
        <w:rPr>
          <w:rFonts w:ascii="Arial" w:cs="Arial" w:eastAsia="Arial" w:hAnsi="Arial"/>
          <w:b/>
          <w:bCs/>
          <w:color w:val="185FA5"/>
          <w:sz w:val="24"/>
          <w:szCs w:val="24"/>
        </w:rPr>
        <w:t xml:space="preserve">Stack tecnológica recomendada</w:t>
      </w:r>
    </w:p>
    <w:p>
      <w:pPr>
        <w:pStyle w:val="ListParagraph"/>
        <w:numPr>
          <w:ilvl w:val="0"/>
          <w:numId w:val="2"/>
        </w:numPr>
        <w:spacing w:before="40" w:after="40"/>
      </w:pPr>
      <w:r>
        <w:rPr>
          <w:rFonts w:ascii="Arial" w:cs="Arial" w:eastAsia="Arial" w:hAnsi="Arial"/>
          <w:color w:val="333333"/>
          <w:sz w:val="20"/>
          <w:szCs w:val="20"/>
        </w:rPr>
        <w:t xml:space="preserve">DuckDB: Data Warehouse embutido para Fases 1–2 (zero infra adicional); migração para BigQuery/Redshift na Fase 3</w:t>
      </w:r>
    </w:p>
    <w:p>
      <w:pPr>
        <w:pStyle w:val="ListParagraph"/>
        <w:numPr>
          <w:ilvl w:val="0"/>
          <w:numId w:val="2"/>
        </w:numPr>
        <w:spacing w:before="40" w:after="40"/>
      </w:pPr>
      <w:r>
        <w:rPr>
          <w:rFonts w:ascii="Arial" w:cs="Arial" w:eastAsia="Arial" w:hAnsi="Arial"/>
          <w:color w:val="333333"/>
          <w:sz w:val="20"/>
          <w:szCs w:val="20"/>
        </w:rPr>
        <w:t xml:space="preserve">dbt: transformações e modelos de dados analíticos sobre DuckDB</w:t>
      </w:r>
    </w:p>
    <w:p>
      <w:pPr>
        <w:pStyle w:val="ListParagraph"/>
        <w:numPr>
          <w:ilvl w:val="0"/>
          <w:numId w:val="2"/>
        </w:numPr>
        <w:spacing w:before="40" w:after="40"/>
      </w:pPr>
      <w:r>
        <w:rPr>
          <w:rFonts w:ascii="Arial" w:cs="Arial" w:eastAsia="Arial" w:hAnsi="Arial"/>
          <w:color w:val="333333"/>
          <w:sz w:val="20"/>
          <w:szCs w:val="20"/>
        </w:rPr>
        <w:t xml:space="preserve">Apache Airflow (Fase 2+) ou Prefect para agendamento de pipelines ETL</w:t>
      </w:r>
    </w:p>
    <w:p>
      <w:pPr>
        <w:pStyle w:val="ListParagraph"/>
        <w:numPr>
          <w:ilvl w:val="0"/>
          <w:numId w:val="2"/>
        </w:numPr>
        <w:spacing w:before="40" w:after="40"/>
      </w:pPr>
      <w:r>
        <w:rPr>
          <w:rFonts w:ascii="Arial" w:cs="Arial" w:eastAsia="Arial" w:hAnsi="Arial"/>
          <w:color w:val="333333"/>
          <w:sz w:val="20"/>
          <w:szCs w:val="20"/>
        </w:rPr>
        <w:t xml:space="preserve">Frontend: React com Recharts ou Chart.js para visualizações</w:t>
      </w:r>
    </w:p>
    <w:p>
      <w:pPr>
        <w:pStyle w:val="ListParagraph"/>
        <w:numPr>
          <w:ilvl w:val="0"/>
          <w:numId w:val="2"/>
        </w:numPr>
        <w:spacing w:before="40" w:after="40"/>
      </w:pPr>
      <w:r>
        <w:rPr>
          <w:rFonts w:ascii="Arial" w:cs="Arial" w:eastAsia="Arial" w:hAnsi="Arial"/>
          <w:color w:val="333333"/>
          <w:sz w:val="20"/>
          <w:szCs w:val="20"/>
        </w:rPr>
        <w:t xml:space="preserve">Redis: cache de resultados de queries frequentes para dashboards em tempo real</w:t>
      </w:r>
    </w:p>
    <w:p>
      <w:pPr>
        <w:pStyle w:val="ListParagraph"/>
        <w:numPr>
          <w:ilvl w:val="0"/>
          <w:numId w:val="2"/>
        </w:numPr>
        <w:spacing w:before="40" w:after="40"/>
      </w:pPr>
      <w:r>
        <w:rPr>
          <w:rFonts w:ascii="Arial" w:cs="Arial" w:eastAsia="Arial" w:hAnsi="Arial"/>
          <w:color w:val="333333"/>
          <w:sz w:val="20"/>
          <w:szCs w:val="20"/>
        </w:rPr>
        <w:t xml:space="preserve">Event Bus: subscreve eventos de todos os módulos para alimentar o pipeline</w:t>
      </w:r>
    </w:p>
    <w:p>
      <w:pPr>
        <w:pStyle w:val="Heading3"/>
        <w:spacing w:before="200" w:after="80"/>
      </w:pPr>
      <w:r>
        <w:rPr>
          <w:rFonts w:ascii="Arial" w:cs="Arial" w:eastAsia="Arial" w:hAnsi="Arial"/>
          <w:b/>
          <w:bCs/>
          <w:color w:val="185FA5"/>
          <w:sz w:val="24"/>
          <w:szCs w:val="24"/>
        </w:rPr>
        <w:t xml:space="preserve">Dependências</w:t>
      </w:r>
    </w:p>
    <w:p>
      <w:pPr>
        <w:spacing w:before="60" w:after="100"/>
      </w:pPr>
      <w:r>
        <w:rPr>
          <w:rFonts w:ascii="Arial" w:cs="Arial" w:eastAsia="Arial" w:hAnsi="Arial"/>
          <w:b/>
          <w:bCs/>
          <w:color w:val="333333"/>
          <w:sz w:val="20"/>
          <w:szCs w:val="20"/>
        </w:rPr>
        <w:t xml:space="preserve">Recebe de: </w:t>
      </w:r>
      <w:r>
        <w:rPr>
          <w:rFonts w:ascii="Arial" w:cs="Arial" w:eastAsia="Arial" w:hAnsi="Arial"/>
          <w:b w:val="false"/>
          <w:bCs w:val="false"/>
          <w:color w:val="333333"/>
          <w:sz w:val="20"/>
          <w:szCs w:val="20"/>
        </w:rPr>
        <w:t xml:space="preserve">Todos os módulos operacionais (M1 a M8, M10 a M17) via eventos NATS e/ou pipelines ETL periódicos.</w:t>
      </w:r>
    </w:p>
    <w:p>
      <w:pPr>
        <w:spacing w:before="60" w:after="100"/>
      </w:pPr>
      <w:r>
        <w:rPr>
          <w:rFonts w:ascii="Arial" w:cs="Arial" w:eastAsia="Arial" w:hAnsi="Arial"/>
          <w:b/>
          <w:bCs/>
          <w:color w:val="333333"/>
          <w:sz w:val="20"/>
          <w:szCs w:val="20"/>
        </w:rPr>
        <w:t xml:space="preserve">Fornece para: </w:t>
      </w:r>
      <w:r>
        <w:rPr>
          <w:rFonts w:ascii="Arial" w:cs="Arial" w:eastAsia="Arial" w:hAnsi="Arial"/>
          <w:b w:val="false"/>
          <w:bCs w:val="false"/>
          <w:color w:val="333333"/>
          <w:sz w:val="20"/>
          <w:szCs w:val="20"/>
        </w:rPr>
        <w:t xml:space="preserve">Nenhuma dependência funcional directa de outros módulos. Serve como validação e feedback indirecto para todas as camadas.</w:t>
      </w:r>
    </w:p>
    <w:p>
      <w:pPr>
        <w:pStyle w:val="Heading3"/>
        <w:spacing w:before="200" w:after="80"/>
      </w:pPr>
      <w:r>
        <w:rPr>
          <w:rFonts w:ascii="Arial" w:cs="Arial" w:eastAsia="Arial" w:hAnsi="Arial"/>
          <w:b/>
          <w:bCs/>
          <w:color w:val="185FA5"/>
          <w:sz w:val="24"/>
          <w:szCs w:val="24"/>
        </w:rPr>
        <w:t xml:space="preserve">Métricas de sucesso</w:t>
      </w:r>
    </w:p>
    <w:p>
      <w:pPr>
        <w:pStyle w:val="ListParagraph"/>
        <w:numPr>
          <w:ilvl w:val="0"/>
          <w:numId w:val="2"/>
        </w:numPr>
        <w:spacing w:before="40" w:after="40"/>
      </w:pPr>
      <w:r>
        <w:rPr>
          <w:rFonts w:ascii="Arial" w:cs="Arial" w:eastAsia="Arial" w:hAnsi="Arial"/>
          <w:color w:val="333333"/>
          <w:sz w:val="20"/>
          <w:szCs w:val="20"/>
        </w:rPr>
        <w:t xml:space="preserve">Adopção executiva: frequência de acesso aos dashboards ≥ 3x/semana por utilizadores de gestão</w:t>
      </w:r>
    </w:p>
    <w:p>
      <w:pPr>
        <w:pStyle w:val="ListParagraph"/>
        <w:numPr>
          <w:ilvl w:val="0"/>
          <w:numId w:val="2"/>
        </w:numPr>
        <w:spacing w:before="40" w:after="40"/>
      </w:pPr>
      <w:r>
        <w:rPr>
          <w:rFonts w:ascii="Arial" w:cs="Arial" w:eastAsia="Arial" w:hAnsi="Arial"/>
          <w:color w:val="333333"/>
          <w:sz w:val="20"/>
          <w:szCs w:val="20"/>
        </w:rPr>
        <w:t xml:space="preserve">Tempo de carregamento de dashboard &lt; 2s (P95)</w:t>
      </w:r>
    </w:p>
    <w:p>
      <w:pPr>
        <w:pStyle w:val="ListParagraph"/>
        <w:numPr>
          <w:ilvl w:val="0"/>
          <w:numId w:val="2"/>
        </w:numPr>
        <w:spacing w:before="40" w:after="40"/>
      </w:pPr>
      <w:r>
        <w:rPr>
          <w:rFonts w:ascii="Arial" w:cs="Arial" w:eastAsia="Arial" w:hAnsi="Arial"/>
          <w:color w:val="333333"/>
          <w:sz w:val="20"/>
          <w:szCs w:val="20"/>
        </w:rPr>
        <w:t xml:space="preserve">Precisão dos dados: variação &lt; 1% entre dados em tempo real e relatórios periódicos</w:t>
      </w:r>
    </w:p>
    <w:p>
      <w:pPr>
        <w:pStyle w:val="ListParagraph"/>
        <w:numPr>
          <w:ilvl w:val="0"/>
          <w:numId w:val="2"/>
        </w:numPr>
        <w:spacing w:before="40" w:after="40"/>
      </w:pPr>
      <w:r>
        <w:rPr>
          <w:rFonts w:ascii="Arial" w:cs="Arial" w:eastAsia="Arial" w:hAnsi="Arial"/>
          <w:color w:val="333333"/>
          <w:sz w:val="20"/>
          <w:szCs w:val="20"/>
        </w:rPr>
        <w:t xml:space="preserve">Disponibilidade do módulo ≥ 99.5%</w:t>
      </w:r>
    </w:p>
    <w:p>
      <w:pPr>
        <w:pStyle w:val="Heading3"/>
        <w:spacing w:before="200" w:after="80"/>
      </w:pPr>
      <w:r>
        <w:rPr>
          <w:rFonts w:ascii="Arial" w:cs="Arial" w:eastAsia="Arial" w:hAnsi="Arial"/>
          <w:b/>
          <w:bCs/>
          <w:color w:val="185FA5"/>
          <w:sz w:val="24"/>
          <w:szCs w:val="24"/>
        </w:rPr>
        <w:t xml:space="preserve">Gaps identificados e ajustes nesta versão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33806" w:sz="6"/>
              <w:left w:val="single" w:color="633806" w:sz="1"/>
              <w:bottom w:val="single" w:color="633806" w:sz="1"/>
              <w:right w:val="single" w:color="633806" w:sz="1"/>
            </w:tcBorders>
            <w:shd w:fill="FAEEDA" w:val="clear"/>
            <w:tcMar>
              <w:top w:type="dxa" w:w="100"/>
              <w:left w:type="dxa" w:w="160"/>
              <w:bottom w:type="dxa" w:w="100"/>
              <w:right w:type="dxa" w:w="160"/>
            </w:tcMar>
          </w:tcPr>
          <w:p>
            <w:pPr>
              <w:spacing w:before="0" w:after="60"/>
            </w:pPr>
            <w:r>
              <w:rPr>
                <w:rFonts w:ascii="Arial" w:cs="Arial" w:eastAsia="Arial" w:hAnsi="Arial"/>
                <w:b/>
                <w:bCs/>
                <w:color w:val="633806"/>
                <w:sz w:val="18"/>
                <w:szCs w:val="18"/>
              </w:rPr>
              <w:t xml:space="preserve">DuckDB substitui BigQuery/Redshift na Fase 1–2</w:t>
            </w:r>
          </w:p>
          <w:p>
            <w:pPr>
              <w:spacing w:before="0" w:after="0"/>
            </w:pPr>
            <w:r>
              <w:rPr>
                <w:rFonts w:ascii="Arial" w:cs="Arial" w:eastAsia="Arial" w:hAnsi="Arial"/>
                <w:color w:val="333333"/>
                <w:sz w:val="20"/>
                <w:szCs w:val="20"/>
              </w:rPr>
              <w:t xml:space="preserve">A documentação original recomendava soluções de DWH geridas (BigQuery, Redshift, Snowflake) desde o início. Esta versão utiliza DuckDB embutido no serviço de dashboards, eliminando custos e complexidade operacional nas fases iniciais. O schema de tabelas de factos é idêntico — a migração para DWH externo é um upgrade de infra sem alteração de código.</w:t>
            </w:r>
          </w:p>
        </w:tc>
      </w:tr>
    </w:tbl>
    <w:p>
      <w:pPr>
        <w:spacing w:before="0" w:after="80"/>
      </w:pPr>
      <w:r>
        <w:t xml:space="preserve"/>
      </w:r>
    </w:p>
    <w:p>
      <w:pPr>
        <w:pStyle w:val="Heading3"/>
        <w:spacing w:before="200" w:after="80"/>
      </w:pPr>
      <w:r>
        <w:rPr>
          <w:rFonts w:ascii="Arial" w:cs="Arial" w:eastAsia="Arial" w:hAnsi="Arial"/>
          <w:b/>
          <w:bCs/>
          <w:color w:val="185FA5"/>
          <w:sz w:val="24"/>
          <w:szCs w:val="24"/>
        </w:rPr>
        <w:t xml:space="preserve">Modelo de dados — entidades principais</w:t>
      </w:r>
    </w:p>
    <w:p>
      <w:pPr>
        <w:spacing w:before="60" w:after="100"/>
        <w:jc w:val="left"/>
      </w:pPr>
      <w:r>
        <w:rPr>
          <w:rFonts w:ascii="Arial" w:cs="Arial" w:eastAsia="Arial" w:hAnsi="Arial"/>
          <w:color w:val="333333"/>
          <w:sz w:val="20"/>
          <w:szCs w:val="20"/>
        </w:rPr>
        <w:t xml:space="preserve">Fact tables (no DuckDB): TicketFact (ticket_id, tenant_id, date_key, category, priority, status, mttr_seconds, sla_met, analyst_id, group_id). AnalystPerformanceFact (analyst_id, tenant_id, date_key, resolved_count, avg_mttr, sla_rate, reopen_rate). AIPerformanceFact (model_id, tenant_id, date_key, predictions_count, acceptance_rate, automation_success_rate). DashboardDefinition (id, tenant_id, name, layout_json, widget_definitions_json, access_roles, created_at). AlertThreshold (id, tenant_id, metric_name, threshold_value, operator, notification_channels).</w:t>
      </w:r>
    </w:p>
    <w:p>
      <w:pPr>
        <w:spacing w:before="0" w:after="200"/>
      </w:pPr>
      <w:r>
        <w:t xml:space="preserve"/>
      </w:r>
    </w:p>
    <w:p>
      <w:pPr>
        <w:pBdr>
          <w:bottom w:val="single" w:color="185FA5" w:sz="6" w:space="1"/>
        </w:pBdr>
        <w:spacing w:before="120" w:after="120"/>
      </w:pPr>
      <w:r>
        <w:t xml:space="preserve"/>
      </w:r>
    </w:p>
    <w:p>
      <w:pPr>
        <w:pStyle w:val="Heading2"/>
        <w:spacing w:before="280" w:after="80"/>
      </w:pPr>
      <w:r>
        <w:rPr>
          <w:rFonts w:ascii="Arial" w:cs="Arial" w:eastAsia="Arial" w:hAnsi="Arial"/>
          <w:b/>
          <w:bCs/>
          <w:color w:val="185FA5"/>
          <w:sz w:val="28"/>
          <w:szCs w:val="28"/>
        </w:rPr>
        <w:t xml:space="preserve">M13: Hub de Integração (APIs &amp; Conectores)  </w:t>
      </w:r>
      <w:r>
        <w:rPr>
          <w:rFonts w:ascii="Arial" w:cs="Arial" w:eastAsia="Arial" w:hAnsi="Arial"/>
          <w:b w:val="false"/>
          <w:bCs w:val="false"/>
          <w:color w:val="888888"/>
          <w:sz w:val="20"/>
          <w:szCs w:val="20"/>
        </w:rPr>
        <w:t xml:space="preserve">[Governança]</w:t>
      </w:r>
    </w:p>
    <w:p>
      <w:pPr>
        <w:spacing w:before="60" w:after="100"/>
        <w:jc w:val="left"/>
      </w:pPr>
      <w:r>
        <w:rPr>
          <w:rFonts w:ascii="Arial" w:cs="Arial" w:eastAsia="Arial" w:hAnsi="Arial"/>
          <w:color w:val="888888"/>
          <w:sz w:val="18"/>
          <w:szCs w:val="18"/>
        </w:rPr>
        <w:t xml:space="preserve">Fase de entrega: Fase 2  |  Estado: Detalhado — actualizado v3</w:t>
      </w:r>
    </w:p>
    <w:p>
      <w:pPr>
        <w:spacing w:before="0" w:after="60"/>
      </w:pPr>
      <w:r>
        <w:t xml:space="preserve"/>
      </w:r>
    </w:p>
    <w:p>
      <w:pPr>
        <w:pStyle w:val="Heading3"/>
        <w:spacing w:before="200" w:after="80"/>
      </w:pPr>
      <w:r>
        <w:rPr>
          <w:rFonts w:ascii="Arial" w:cs="Arial" w:eastAsia="Arial" w:hAnsi="Arial"/>
          <w:b/>
          <w:bCs/>
          <w:color w:val="185FA5"/>
          <w:sz w:val="24"/>
          <w:szCs w:val="24"/>
        </w:rPr>
        <w:t xml:space="preserve">Objectivo principal</w:t>
      </w:r>
    </w:p>
    <w:p>
      <w:pPr>
        <w:spacing w:before="60" w:after="100"/>
        <w:jc w:val="left"/>
      </w:pPr>
      <w:r>
        <w:rPr>
          <w:rFonts w:ascii="Arial" w:cs="Arial" w:eastAsia="Arial" w:hAnsi="Arial"/>
          <w:color w:val="333333"/>
          <w:sz w:val="20"/>
          <w:szCs w:val="20"/>
        </w:rPr>
        <w:t xml:space="preserve">Integração bidirecional com sistemas externos (CMDB externo, Jira, Azure DevOps, Datadog, Oracle, Prometheus). Abstrai a complexidade das APIs externas e provê um ponto centralizado para gerir todas as conexões do ecossistema. A partir desta versão, os conectores publicam e consomem eventos no Event Bus para integração assíncrona resiliente.</w:t>
      </w:r>
    </w:p>
    <w:p>
      <w:pPr>
        <w:pStyle w:val="Heading3"/>
        <w:spacing w:before="200" w:after="80"/>
      </w:pPr>
      <w:r>
        <w:rPr>
          <w:rFonts w:ascii="Arial" w:cs="Arial" w:eastAsia="Arial" w:hAnsi="Arial"/>
          <w:b/>
          <w:bCs/>
          <w:color w:val="185FA5"/>
          <w:sz w:val="24"/>
          <w:szCs w:val="24"/>
        </w:rPr>
        <w:t xml:space="preserve">Funcionalidades MVP</w:t>
      </w:r>
    </w:p>
    <w:p>
      <w:pPr>
        <w:pStyle w:val="ListParagraph"/>
        <w:numPr>
          <w:ilvl w:val="0"/>
          <w:numId w:val="2"/>
        </w:numPr>
        <w:spacing w:before="40" w:after="40"/>
      </w:pPr>
      <w:r>
        <w:rPr>
          <w:rFonts w:ascii="Arial" w:cs="Arial" w:eastAsia="Arial" w:hAnsi="Arial"/>
          <w:color w:val="333333"/>
          <w:sz w:val="20"/>
          <w:szCs w:val="20"/>
        </w:rPr>
        <w:t xml:space="preserve">Gateway de APIs: ponto centralizado de saída para sistemas externos, com autenticação (OAuth2, API Keys), rate limiting e logging</w:t>
      </w:r>
    </w:p>
    <w:p>
      <w:pPr>
        <w:pStyle w:val="ListParagraph"/>
        <w:numPr>
          <w:ilvl w:val="0"/>
          <w:numId w:val="2"/>
        </w:numPr>
        <w:spacing w:before="40" w:after="40"/>
      </w:pPr>
      <w:r>
        <w:rPr>
          <w:rFonts w:ascii="Arial" w:cs="Arial" w:eastAsia="Arial" w:hAnsi="Arial"/>
          <w:color w:val="333333"/>
          <w:sz w:val="20"/>
          <w:szCs w:val="20"/>
        </w:rPr>
        <w:t xml:space="preserve">Conectores pré-construídos: Jira Cloud, Azure DevOps, Datadog Events, Prometheus Alertmanager, Oracle SR API, CMDB externo genérico</w:t>
      </w:r>
    </w:p>
    <w:p>
      <w:pPr>
        <w:pStyle w:val="ListParagraph"/>
        <w:numPr>
          <w:ilvl w:val="0"/>
          <w:numId w:val="2"/>
        </w:numPr>
        <w:spacing w:before="40" w:after="40"/>
      </w:pPr>
      <w:r>
        <w:rPr>
          <w:rFonts w:ascii="Arial" w:cs="Arial" w:eastAsia="Arial" w:hAnsi="Arial"/>
          <w:color w:val="333333"/>
          <w:sz w:val="20"/>
          <w:szCs w:val="20"/>
        </w:rPr>
        <w:t xml:space="preserve">Conector REST/SOAP genérico: para sistemas legados ou menos comuns</w:t>
      </w:r>
    </w:p>
    <w:p>
      <w:pPr>
        <w:pStyle w:val="ListParagraph"/>
        <w:numPr>
          <w:ilvl w:val="0"/>
          <w:numId w:val="2"/>
        </w:numPr>
        <w:spacing w:before="40" w:after="40"/>
      </w:pPr>
      <w:r>
        <w:rPr>
          <w:rFonts w:ascii="Arial" w:cs="Arial" w:eastAsia="Arial" w:hAnsi="Arial"/>
          <w:color w:val="333333"/>
          <w:sz w:val="20"/>
          <w:szCs w:val="20"/>
        </w:rPr>
        <w:t xml:space="preserve">Mapeamento e transformação de dados: mapeamento de campos entre modelo interno e externo, funções de transformação, validação de schema</w:t>
      </w:r>
    </w:p>
    <w:p>
      <w:pPr>
        <w:pStyle w:val="ListParagraph"/>
        <w:numPr>
          <w:ilvl w:val="0"/>
          <w:numId w:val="2"/>
        </w:numPr>
        <w:spacing w:before="40" w:after="40"/>
      </w:pPr>
      <w:r>
        <w:rPr>
          <w:rFonts w:ascii="Arial" w:cs="Arial" w:eastAsia="Arial" w:hAnsi="Arial"/>
          <w:color w:val="333333"/>
          <w:sz w:val="20"/>
          <w:szCs w:val="20"/>
        </w:rPr>
        <w:t xml:space="preserve">Fluxos de integração: event-driven (NATS → sistema externo), agendados (sync periódico), por chamada directa (API call)</w:t>
      </w:r>
    </w:p>
    <w:p>
      <w:pPr>
        <w:pStyle w:val="ListParagraph"/>
        <w:numPr>
          <w:ilvl w:val="0"/>
          <w:numId w:val="2"/>
        </w:numPr>
        <w:spacing w:before="40" w:after="40"/>
      </w:pPr>
      <w:r>
        <w:rPr>
          <w:rFonts w:ascii="Arial" w:cs="Arial" w:eastAsia="Arial" w:hAnsi="Arial"/>
          <w:color w:val="333333"/>
          <w:sz w:val="20"/>
          <w:szCs w:val="20"/>
        </w:rPr>
        <w:t xml:space="preserve">Tratamento de erros: retries configuráveis, dead-letter queue, alertas de falha</w:t>
      </w:r>
    </w:p>
    <w:p>
      <w:pPr>
        <w:pStyle w:val="Heading3"/>
        <w:spacing w:before="200" w:after="80"/>
      </w:pPr>
      <w:r>
        <w:rPr>
          <w:rFonts w:ascii="Arial" w:cs="Arial" w:eastAsia="Arial" w:hAnsi="Arial"/>
          <w:b/>
          <w:bCs/>
          <w:color w:val="185FA5"/>
          <w:sz w:val="24"/>
          <w:szCs w:val="24"/>
        </w:rPr>
        <w:t xml:space="preserve">Stack tecnológica recomendada</w:t>
      </w:r>
    </w:p>
    <w:p>
      <w:pPr>
        <w:pStyle w:val="ListParagraph"/>
        <w:numPr>
          <w:ilvl w:val="0"/>
          <w:numId w:val="2"/>
        </w:numPr>
        <w:spacing w:before="40" w:after="40"/>
      </w:pPr>
      <w:r>
        <w:rPr>
          <w:rFonts w:ascii="Arial" w:cs="Arial" w:eastAsia="Arial" w:hAnsi="Arial"/>
          <w:color w:val="333333"/>
          <w:sz w:val="20"/>
          <w:szCs w:val="20"/>
        </w:rPr>
        <w:t xml:space="preserve">Node.js (ideal para I/O intensivo e event-driven) ou Python (se mesma base da IA)</w:t>
      </w:r>
    </w:p>
    <w:p>
      <w:pPr>
        <w:pStyle w:val="ListParagraph"/>
        <w:numPr>
          <w:ilvl w:val="0"/>
          <w:numId w:val="2"/>
        </w:numPr>
        <w:spacing w:before="40" w:after="40"/>
      </w:pPr>
      <w:r>
        <w:rPr>
          <w:rFonts w:ascii="Arial" w:cs="Arial" w:eastAsia="Arial" w:hAnsi="Arial"/>
          <w:color w:val="333333"/>
          <w:sz w:val="20"/>
          <w:szCs w:val="20"/>
        </w:rPr>
        <w:t xml:space="preserve">API Gateway: Kong OSS para gestão de autenticação, rate limiting e logging de chamadas externas</w:t>
      </w:r>
    </w:p>
    <w:p>
      <w:pPr>
        <w:pStyle w:val="ListParagraph"/>
        <w:numPr>
          <w:ilvl w:val="0"/>
          <w:numId w:val="2"/>
        </w:numPr>
        <w:spacing w:before="40" w:after="40"/>
      </w:pPr>
      <w:r>
        <w:rPr>
          <w:rFonts w:ascii="Arial" w:cs="Arial" w:eastAsia="Arial" w:hAnsi="Arial"/>
          <w:color w:val="333333"/>
          <w:sz w:val="20"/>
          <w:szCs w:val="20"/>
        </w:rPr>
        <w:t xml:space="preserve">Event Bus: NATS — subscreve eventos internos que requerem propagação externa; publica eventos de sistemas externos</w:t>
      </w:r>
    </w:p>
    <w:p>
      <w:pPr>
        <w:pStyle w:val="ListParagraph"/>
        <w:numPr>
          <w:ilvl w:val="0"/>
          <w:numId w:val="2"/>
        </w:numPr>
        <w:spacing w:before="40" w:after="40"/>
      </w:pPr>
      <w:r>
        <w:rPr>
          <w:rFonts w:ascii="Arial" w:cs="Arial" w:eastAsia="Arial" w:hAnsi="Arial"/>
          <w:color w:val="333333"/>
          <w:sz w:val="20"/>
          <w:szCs w:val="20"/>
        </w:rPr>
        <w:t xml:space="preserve">Message queue para retries: RabbitMQ (mais simples que Kafka para este uso) ou NATS JetStream</w:t>
      </w:r>
    </w:p>
    <w:p>
      <w:pPr>
        <w:pStyle w:val="ListParagraph"/>
        <w:numPr>
          <w:ilvl w:val="0"/>
          <w:numId w:val="2"/>
        </w:numPr>
        <w:spacing w:before="40" w:after="40"/>
      </w:pPr>
      <w:r>
        <w:rPr>
          <w:rFonts w:ascii="Arial" w:cs="Arial" w:eastAsia="Arial" w:hAnsi="Arial"/>
          <w:color w:val="333333"/>
          <w:sz w:val="20"/>
          <w:szCs w:val="20"/>
        </w:rPr>
        <w:t xml:space="preserve">Secret management: HashiCorp Vault ou Doppler para credenciais de sistemas externos</w:t>
      </w:r>
    </w:p>
    <w:p>
      <w:pPr>
        <w:pStyle w:val="ListParagraph"/>
        <w:numPr>
          <w:ilvl w:val="0"/>
          <w:numId w:val="2"/>
        </w:numPr>
        <w:spacing w:before="40" w:after="40"/>
      </w:pPr>
      <w:r>
        <w:rPr>
          <w:rFonts w:ascii="Arial" w:cs="Arial" w:eastAsia="Arial" w:hAnsi="Arial"/>
          <w:color w:val="333333"/>
          <w:sz w:val="20"/>
          <w:szCs w:val="20"/>
        </w:rPr>
        <w:t xml:space="preserve">PostgreSQL: configurações de endpoints, mapeamentos, logs de integração</w:t>
      </w:r>
    </w:p>
    <w:p>
      <w:pPr>
        <w:pStyle w:val="Heading3"/>
        <w:spacing w:before="200" w:after="80"/>
      </w:pPr>
      <w:r>
        <w:rPr>
          <w:rFonts w:ascii="Arial" w:cs="Arial" w:eastAsia="Arial" w:hAnsi="Arial"/>
          <w:b/>
          <w:bCs/>
          <w:color w:val="185FA5"/>
          <w:sz w:val="24"/>
          <w:szCs w:val="24"/>
        </w:rPr>
        <w:t xml:space="preserve">Dependências</w:t>
      </w:r>
    </w:p>
    <w:p>
      <w:pPr>
        <w:spacing w:before="60" w:after="100"/>
      </w:pPr>
      <w:r>
        <w:rPr>
          <w:rFonts w:ascii="Arial" w:cs="Arial" w:eastAsia="Arial" w:hAnsi="Arial"/>
          <w:b/>
          <w:bCs/>
          <w:color w:val="333333"/>
          <w:sz w:val="20"/>
          <w:szCs w:val="20"/>
        </w:rPr>
        <w:t xml:space="preserve">Recebe de: </w:t>
      </w:r>
      <w:r>
        <w:rPr>
          <w:rFonts w:ascii="Arial" w:cs="Arial" w:eastAsia="Arial" w:hAnsi="Arial"/>
          <w:b w:val="false"/>
          <w:bCs w:val="false"/>
          <w:color w:val="333333"/>
          <w:sz w:val="20"/>
          <w:szCs w:val="20"/>
        </w:rPr>
        <w:t xml:space="preserve">Todos os módulos que precisam comunicar com sistemas externos. Módulo 1 (RBAC para acesso aos fluxos). Sistemas externos (Jira, Datadog, Oracle, etc.).</w:t>
      </w:r>
    </w:p>
    <w:p>
      <w:pPr>
        <w:spacing w:before="60" w:after="100"/>
      </w:pPr>
      <w:r>
        <w:rPr>
          <w:rFonts w:ascii="Arial" w:cs="Arial" w:eastAsia="Arial" w:hAnsi="Arial"/>
          <w:b/>
          <w:bCs/>
          <w:color w:val="333333"/>
          <w:sz w:val="20"/>
          <w:szCs w:val="20"/>
        </w:rPr>
        <w:t xml:space="preserve">Fornece para: </w:t>
      </w:r>
      <w:r>
        <w:rPr>
          <w:rFonts w:ascii="Arial" w:cs="Arial" w:eastAsia="Arial" w:hAnsi="Arial"/>
          <w:b w:val="false"/>
          <w:bCs w:val="false"/>
          <w:color w:val="333333"/>
          <w:sz w:val="20"/>
          <w:szCs w:val="20"/>
        </w:rPr>
        <w:t xml:space="preserve">Todos os módulos que recebem dados de sistemas externos. M11 (eventos de monitoramento). M12 (Oracle SR). M1 (sync de CIs externos). M10 (logs de integração para auditoria).</w:t>
      </w:r>
    </w:p>
    <w:p>
      <w:pPr>
        <w:pStyle w:val="Heading3"/>
        <w:spacing w:before="200" w:after="80"/>
      </w:pPr>
      <w:r>
        <w:rPr>
          <w:rFonts w:ascii="Arial" w:cs="Arial" w:eastAsia="Arial" w:hAnsi="Arial"/>
          <w:b/>
          <w:bCs/>
          <w:color w:val="185FA5"/>
          <w:sz w:val="24"/>
          <w:szCs w:val="24"/>
        </w:rPr>
        <w:t xml:space="preserve">Métricas de sucesso</w:t>
      </w:r>
    </w:p>
    <w:p>
      <w:pPr>
        <w:pStyle w:val="ListParagraph"/>
        <w:numPr>
          <w:ilvl w:val="0"/>
          <w:numId w:val="2"/>
        </w:numPr>
        <w:spacing w:before="40" w:after="40"/>
      </w:pPr>
      <w:r>
        <w:rPr>
          <w:rFonts w:ascii="Arial" w:cs="Arial" w:eastAsia="Arial" w:hAnsi="Arial"/>
          <w:color w:val="333333"/>
          <w:sz w:val="20"/>
          <w:szCs w:val="20"/>
        </w:rPr>
        <w:t xml:space="preserve">Taxa de sucesso de transações de integração ≥ 99%</w:t>
      </w:r>
    </w:p>
    <w:p>
      <w:pPr>
        <w:pStyle w:val="ListParagraph"/>
        <w:numPr>
          <w:ilvl w:val="0"/>
          <w:numId w:val="2"/>
        </w:numPr>
        <w:spacing w:before="40" w:after="40"/>
      </w:pPr>
      <w:r>
        <w:rPr>
          <w:rFonts w:ascii="Arial" w:cs="Arial" w:eastAsia="Arial" w:hAnsi="Arial"/>
          <w:color w:val="333333"/>
          <w:sz w:val="20"/>
          <w:szCs w:val="20"/>
        </w:rPr>
        <w:t xml:space="preserve">Latência média de integração &lt; 1s para chamadas síncronas</w:t>
      </w:r>
    </w:p>
    <w:p>
      <w:pPr>
        <w:pStyle w:val="ListParagraph"/>
        <w:numPr>
          <w:ilvl w:val="0"/>
          <w:numId w:val="2"/>
        </w:numPr>
        <w:spacing w:before="40" w:after="40"/>
      </w:pPr>
      <w:r>
        <w:rPr>
          <w:rFonts w:ascii="Arial" w:cs="Arial" w:eastAsia="Arial" w:hAnsi="Arial"/>
          <w:color w:val="333333"/>
          <w:sz w:val="20"/>
          <w:szCs w:val="20"/>
        </w:rPr>
        <w:t xml:space="preserve">Disponibilidade do hub ≥ 99.9%</w:t>
      </w:r>
    </w:p>
    <w:p>
      <w:pPr>
        <w:pStyle w:val="ListParagraph"/>
        <w:numPr>
          <w:ilvl w:val="0"/>
          <w:numId w:val="2"/>
        </w:numPr>
        <w:spacing w:before="40" w:after="40"/>
      </w:pPr>
      <w:r>
        <w:rPr>
          <w:rFonts w:ascii="Arial" w:cs="Arial" w:eastAsia="Arial" w:hAnsi="Arial"/>
          <w:color w:val="333333"/>
          <w:sz w:val="20"/>
          <w:szCs w:val="20"/>
        </w:rPr>
        <w:t xml:space="preserve">Tempo de configuração de nova integração &lt; 2h para conectores pré-construídos</w:t>
      </w:r>
    </w:p>
    <w:p>
      <w:pPr>
        <w:pStyle w:val="Heading3"/>
        <w:spacing w:before="200" w:after="80"/>
      </w:pPr>
      <w:r>
        <w:rPr>
          <w:rFonts w:ascii="Arial" w:cs="Arial" w:eastAsia="Arial" w:hAnsi="Arial"/>
          <w:b/>
          <w:bCs/>
          <w:color w:val="185FA5"/>
          <w:sz w:val="24"/>
          <w:szCs w:val="24"/>
        </w:rPr>
        <w:t xml:space="preserve">Gaps identificados e ajustes nesta versão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6"/>
              <w:left w:val="single" w:color="185FA5" w:sz="1"/>
              <w:bottom w:val="single" w:color="185FA5" w:sz="1"/>
              <w:right w:val="single" w:color="185FA5" w:sz="1"/>
            </w:tcBorders>
            <w:shd w:fill="EBF4FC" w:val="clear"/>
            <w:tcMar>
              <w:top w:type="dxa" w:w="100"/>
              <w:left w:type="dxa" w:w="160"/>
              <w:bottom w:type="dxa" w:w="100"/>
              <w:right w:type="dxa" w:w="160"/>
            </w:tcMar>
          </w:tcPr>
          <w:p>
            <w:pPr>
              <w:spacing w:before="0" w:after="60"/>
            </w:pPr>
            <w:r>
              <w:rPr>
                <w:rFonts w:ascii="Arial" w:cs="Arial" w:eastAsia="Arial" w:hAnsi="Arial"/>
                <w:b/>
                <w:bCs/>
                <w:color w:val="185FA5"/>
                <w:sz w:val="18"/>
                <w:szCs w:val="18"/>
              </w:rPr>
              <w:t xml:space="preserve">Conectores publicam/consomem Event Bus</w:t>
            </w:r>
          </w:p>
          <w:p>
            <w:pPr>
              <w:spacing w:before="0" w:after="0"/>
            </w:pPr>
            <w:r>
              <w:rPr>
                <w:rFonts w:ascii="Arial" w:cs="Arial" w:eastAsia="Arial" w:hAnsi="Arial"/>
                <w:color w:val="333333"/>
                <w:sz w:val="20"/>
                <w:szCs w:val="20"/>
              </w:rPr>
              <w:t xml:space="preserve">Na versão original, os conectores faziam chamadas REST directas aos módulos. Nesta versão, os conectores do M13 publicam eventos NATS quando recebem dados externos (ex: monitoring.alert.fired quando chega alerta do Datadog) e subscrevem eventos internos para propagar para sistemas externos (ex: ao receber ticket.created, cria issue no Jira se o fluxo estiver configurado). Isto garante resiliência: falhas temporárias do M13 não bloqueiam outros módulos.</w:t>
            </w:r>
          </w:p>
        </w:tc>
      </w:tr>
    </w:tbl>
    <w:p>
      <w:pPr>
        <w:spacing w:before="0" w:after="80"/>
      </w:pPr>
      <w:r>
        <w:t xml:space="preserve"/>
      </w:r>
    </w:p>
    <w:p>
      <w:pPr>
        <w:pStyle w:val="Heading3"/>
        <w:spacing w:before="200" w:after="80"/>
      </w:pPr>
      <w:r>
        <w:rPr>
          <w:rFonts w:ascii="Arial" w:cs="Arial" w:eastAsia="Arial" w:hAnsi="Arial"/>
          <w:b/>
          <w:bCs/>
          <w:color w:val="185FA5"/>
          <w:sz w:val="24"/>
          <w:szCs w:val="24"/>
        </w:rPr>
        <w:t xml:space="preserve">Modelo de dados — entidades principais</w:t>
      </w:r>
    </w:p>
    <w:p>
      <w:pPr>
        <w:spacing w:before="60" w:after="100"/>
        <w:jc w:val="left"/>
      </w:pPr>
      <w:r>
        <w:rPr>
          <w:rFonts w:ascii="Arial" w:cs="Arial" w:eastAsia="Arial" w:hAnsi="Arial"/>
          <w:color w:val="333333"/>
          <w:sz w:val="20"/>
          <w:szCs w:val="20"/>
        </w:rPr>
        <w:t xml:space="preserve">IntegrationEndpoint (id, tenant_id, name, base_url, auth_type, auth_config_json, rate_limit_config_json, platform_type, is_active). DataMappingDefinition (id, tenant_id, name, source_system, target_system, mapping_rules_json). IntegrationFlow (id, tenant_id, name, trigger_type, trigger_config_json, steps_json, error_handling_config_json, is_active). IntegrationLog (id, tenant_id, flow_id, transaction_id, status, start_time, duration_ms, request_payload_json, response_payload_json, error_message, retry_count).</w:t>
      </w:r>
    </w:p>
    <w:p>
      <w:pPr>
        <w:spacing w:before="0" w:after="200"/>
      </w:pPr>
      <w:r>
        <w:t xml:space="preserve"/>
      </w:r>
    </w:p>
    <w:p>
      <w:pPr>
        <w:pBdr>
          <w:bottom w:val="single" w:color="DDDDDD" w:sz="6" w:space="1"/>
        </w:pBdr>
        <w:spacing w:before="120" w:after="120"/>
      </w:pPr>
      <w:r>
        <w:t xml:space="preserve"/>
      </w:r>
    </w:p>
    <w:p>
      <w:pPr>
        <w:pStyle w:val="Heading2"/>
        <w:spacing w:before="280" w:after="120"/>
      </w:pPr>
      <w:r>
        <w:rPr>
          <w:rFonts w:ascii="Arial" w:cs="Arial" w:eastAsia="Arial" w:hAnsi="Arial"/>
          <w:b/>
          <w:bCs/>
          <w:color w:val="185FA5"/>
          <w:sz w:val="28"/>
          <w:szCs w:val="28"/>
        </w:rPr>
        <w:t xml:space="preserve">Módulos M5 a M20 — Actualização Transversal v3</w:t>
      </w:r>
    </w:p>
    <w:p>
      <w:pPr>
        <w:spacing w:before="60" w:after="100"/>
        <w:jc w:val="left"/>
      </w:pPr>
      <w:r>
        <w:rPr>
          <w:rFonts w:ascii="Arial" w:cs="Arial" w:eastAsia="Arial" w:hAnsi="Arial"/>
          <w:color w:val="333333"/>
          <w:sz w:val="20"/>
          <w:szCs w:val="20"/>
        </w:rPr>
        <w:t xml:space="preserve">Os módulos M5 (IA Preditiva), M6 (Workforce Insights), M7 (Business Insights), M8 (Competências), M10 (Auditoria), M11 (Monitoring), M12 (Oracle SR), M14 (TrustOps), M15 (Gamificação), M16 (Capacidade), M17 (ITFM), M18 (Propostas), M19 (Previsão Vendas) e M20 (Rotas Campo) mantêm a especificação original com as seguintes actualizações transversais aplicadas:</w:t>
      </w:r>
    </w:p>
    <w:p>
      <w:pPr>
        <w:pStyle w:val="ListParagraph"/>
        <w:numPr>
          <w:ilvl w:val="0"/>
          <w:numId w:val="2"/>
        </w:numPr>
        <w:spacing w:before="40" w:after="40"/>
      </w:pPr>
      <w:r>
        <w:rPr>
          <w:rFonts w:ascii="Arial" w:cs="Arial" w:eastAsia="Arial" w:hAnsi="Arial"/>
          <w:color w:val="333333"/>
          <w:sz w:val="20"/>
          <w:szCs w:val="20"/>
        </w:rPr>
        <w:t xml:space="preserve">tenant_id adicionado a todas as entidades como campo obrigatório (UUID, NOT NULL, com policy RLS)</w:t>
      </w:r>
    </w:p>
    <w:p>
      <w:pPr>
        <w:pStyle w:val="ListParagraph"/>
        <w:numPr>
          <w:ilvl w:val="0"/>
          <w:numId w:val="2"/>
        </w:numPr>
        <w:spacing w:before="40" w:after="40"/>
      </w:pPr>
      <w:r>
        <w:rPr>
          <w:rFonts w:ascii="Arial" w:cs="Arial" w:eastAsia="Arial" w:hAnsi="Arial"/>
          <w:color w:val="333333"/>
          <w:sz w:val="20"/>
          <w:szCs w:val="20"/>
        </w:rPr>
        <w:t xml:space="preserve">Comunicação com outros módulos migrada de FK directa / REST síncrono para publicação/subscrição de eventos NATS nos tópicos de domínio correspondentes</w:t>
      </w:r>
    </w:p>
    <w:p>
      <w:pPr>
        <w:pStyle w:val="ListParagraph"/>
        <w:numPr>
          <w:ilvl w:val="0"/>
          <w:numId w:val="2"/>
        </w:numPr>
        <w:spacing w:before="40" w:after="40"/>
      </w:pPr>
      <w:r>
        <w:rPr>
          <w:rFonts w:ascii="Arial" w:cs="Arial" w:eastAsia="Arial" w:hAnsi="Arial"/>
          <w:color w:val="333333"/>
          <w:sz w:val="20"/>
          <w:szCs w:val="20"/>
        </w:rPr>
        <w:t xml:space="preserve">Dependências de M21 e M22 convertidas em chamadas opcionais via M13 (Hub de Integração), sem dependência de runtime</w:t>
      </w:r>
    </w:p>
    <w:p>
      <w:pPr>
        <w:pStyle w:val="ListParagraph"/>
        <w:numPr>
          <w:ilvl w:val="0"/>
          <w:numId w:val="2"/>
        </w:numPr>
        <w:spacing w:before="40" w:after="40"/>
      </w:pPr>
      <w:r>
        <w:rPr>
          <w:rFonts w:ascii="Arial" w:cs="Arial" w:eastAsia="Arial" w:hAnsi="Arial"/>
          <w:color w:val="333333"/>
          <w:sz w:val="20"/>
          <w:szCs w:val="20"/>
        </w:rPr>
        <w:t xml:space="preserve">Stack tecnológica consolidada: Elasticsearch substituído por pgvector onde aplicável (Fases 1–2). BigQuery/Redshift/Snowflake substituídos por DuckDB (Fases 1–2). Upgrade path documentado para cada tecnologia substituída</w:t>
      </w:r>
    </w:p>
    <w:p>
      <w:pPr>
        <w:pStyle w:val="ListParagraph"/>
        <w:numPr>
          <w:ilvl w:val="0"/>
          <w:numId w:val="2"/>
        </w:numPr>
        <w:spacing w:before="40" w:after="40"/>
      </w:pPr>
      <w:r>
        <w:rPr>
          <w:rFonts w:ascii="Arial" w:cs="Arial" w:eastAsia="Arial" w:hAnsi="Arial"/>
          <w:color w:val="333333"/>
          <w:sz w:val="20"/>
          <w:szCs w:val="20"/>
        </w:rPr>
        <w:t xml:space="preserve">Feature flags adicionados: cada módulo verifica is_module_active(tenant_id, 'MXX') antes de processar qualquer evento ou chamada</w:t>
      </w:r>
    </w:p>
    <w:p>
      <w:pPr>
        <w:spacing w:before="0" w:after="200"/>
      </w:pPr>
      <w:r>
        <w:t xml:space="preserve"/>
      </w:r>
    </w:p>
    <w:p>
      <w:pPr>
        <w:pStyle w:val="Heading1"/>
        <w:spacing w:before="360" w:after="160"/>
      </w:pPr>
      <w:r>
        <w:rPr>
          <w:rFonts w:ascii="Arial" w:cs="Arial" w:eastAsia="Arial" w:hAnsi="Arial"/>
          <w:b/>
          <w:bCs/>
          <w:color w:val="0D3B6E"/>
          <w:sz w:val="36"/>
          <w:szCs w:val="36"/>
        </w:rPr>
        <w:t xml:space="preserve">7. Convenções do Modelo de Dados</w:t>
      </w:r>
    </w:p>
    <w:p>
      <w:pPr>
        <w:pStyle w:val="Heading2"/>
        <w:spacing w:before="280" w:after="120"/>
      </w:pPr>
      <w:r>
        <w:rPr>
          <w:rFonts w:ascii="Arial" w:cs="Arial" w:eastAsia="Arial" w:hAnsi="Arial"/>
          <w:b/>
          <w:bCs/>
          <w:color w:val="185FA5"/>
          <w:sz w:val="28"/>
          <w:szCs w:val="28"/>
        </w:rPr>
        <w:t xml:space="preserve">7.1 Campos obrigatórios em todas as entidades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DDDDD" w:sz="1"/>
              <w:left w:val="single" w:color="DDDDDD" w:sz="1"/>
              <w:bottom w:val="single" w:color="DDDDDD" w:sz="1"/>
              <w:right w:val="single" w:color="DDDDDD" w:sz="1"/>
            </w:tcBorders>
            <w:shd w:fill="FAECE7" w:val="clear"/>
            <w:tcMar>
              <w:top w:type="dxa" w:w="60"/>
              <w:left w:type="dxa" w:w="120"/>
              <w:bottom w:type="dxa" w:w="60"/>
              <w:right w:type="dxa" w:w="120"/>
            </w:tcMar>
          </w:tcPr>
          <w:p>
            <w:pPr>
              <w:jc w:val="center"/>
            </w:pPr>
            <w:r>
              <w:rPr>
                <w:rFonts w:ascii="Arial" w:cs="Arial" w:eastAsia="Arial" w:hAnsi="Arial"/>
                <w:b/>
                <w:bCs/>
                <w:color w:val="712B13"/>
                <w:sz w:val="18"/>
                <w:szCs w:val="18"/>
              </w:rPr>
              <w:t xml:space="preserve">tenant_id</w:t>
            </w:r>
          </w:p>
        </w:tc>
        <w:tc>
          <w:tcPr>
            <w:tcW w:type="dxa" w:w="7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20"/>
                <w:szCs w:val="20"/>
              </w:rPr>
              <w:t xml:space="preserve">UUID NOT NULL — isolamento multi-tenant. Indexado. RLS policy aplicada. Nunca omitir.</w:t>
            </w:r>
          </w:p>
        </w:tc>
      </w:tr>
      <w:tr>
        <w:tc>
          <w:tcPr>
            <w:tcW w:type="dxa" w:w="1600"/>
            <w:tcBorders>
              <w:top w:val="single" w:color="DDDDDD" w:sz="1"/>
              <w:left w:val="single" w:color="DDDDDD" w:sz="1"/>
              <w:bottom w:val="single" w:color="DDDDDD" w:sz="1"/>
              <w:right w:val="single" w:color="DDDDDD" w:sz="1"/>
            </w:tcBorders>
            <w:shd w:fill="EBF4FC" w:val="clear"/>
            <w:tcMar>
              <w:top w:type="dxa" w:w="60"/>
              <w:left w:type="dxa" w:w="120"/>
              <w:bottom w:type="dxa" w:w="60"/>
              <w:right w:type="dxa" w:w="120"/>
            </w:tcMar>
          </w:tcPr>
          <w:p>
            <w:pPr>
              <w:jc w:val="center"/>
            </w:pPr>
            <w:r>
              <w:rPr>
                <w:rFonts w:ascii="Arial" w:cs="Arial" w:eastAsia="Arial" w:hAnsi="Arial"/>
                <w:b/>
                <w:bCs/>
                <w:color w:val="185FA5"/>
                <w:sz w:val="18"/>
                <w:szCs w:val="18"/>
              </w:rPr>
              <w:t xml:space="preserve">id</w:t>
            </w:r>
          </w:p>
        </w:tc>
        <w:tc>
          <w:tcPr>
            <w:tcW w:type="dxa" w:w="7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20"/>
                <w:szCs w:val="20"/>
              </w:rPr>
              <w:t xml:space="preserve">UUID (GUID v4) como chave primária — nunca inteiros sequenciais. Permite migração entre serviços sem conflito de IDs.</w:t>
            </w:r>
          </w:p>
        </w:tc>
      </w:tr>
      <w:tr>
        <w:tc>
          <w:tcPr>
            <w:tcW w:type="dxa" w:w="16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pPr>
              <w:jc w:val="center"/>
            </w:pPr>
            <w:r>
              <w:rPr>
                <w:rFonts w:ascii="Arial" w:cs="Arial" w:eastAsia="Arial" w:hAnsi="Arial"/>
                <w:b/>
                <w:bCs/>
                <w:color w:val="444441"/>
                <w:sz w:val="18"/>
                <w:szCs w:val="18"/>
              </w:rPr>
              <w:t xml:space="preserve">created_at</w:t>
            </w:r>
          </w:p>
        </w:tc>
        <w:tc>
          <w:tcPr>
            <w:tcW w:type="dxa" w:w="7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20"/>
                <w:szCs w:val="20"/>
              </w:rPr>
              <w:t xml:space="preserve">TIMESTAMP WITH TIME ZONE NOT NULL DEFAULT now() — sempre com timezone.</w:t>
            </w:r>
          </w:p>
        </w:tc>
      </w:tr>
      <w:tr>
        <w:tc>
          <w:tcPr>
            <w:tcW w:type="dxa" w:w="16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pPr>
              <w:jc w:val="center"/>
            </w:pPr>
            <w:r>
              <w:rPr>
                <w:rFonts w:ascii="Arial" w:cs="Arial" w:eastAsia="Arial" w:hAnsi="Arial"/>
                <w:b/>
                <w:bCs/>
                <w:color w:val="444441"/>
                <w:sz w:val="18"/>
                <w:szCs w:val="18"/>
              </w:rPr>
              <w:t xml:space="preserve">updated_at</w:t>
            </w:r>
          </w:p>
        </w:tc>
        <w:tc>
          <w:tcPr>
            <w:tcW w:type="dxa" w:w="7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20"/>
                <w:szCs w:val="20"/>
              </w:rPr>
              <w:t xml:space="preserve">TIMESTAMP WITH TIME ZONE — actualizado via trigger PostgreSQL em cada UPDATE.</w:t>
            </w:r>
          </w:p>
        </w:tc>
      </w:tr>
    </w:tbl>
    <w:p>
      <w:pPr>
        <w:spacing w:before="0" w:after="120"/>
      </w:pPr>
      <w:r>
        <w:t xml:space="preserve"/>
      </w:r>
    </w:p>
    <w:p>
      <w:pPr>
        <w:pStyle w:val="Heading2"/>
        <w:spacing w:before="280" w:after="120"/>
      </w:pPr>
      <w:r>
        <w:rPr>
          <w:rFonts w:ascii="Arial" w:cs="Arial" w:eastAsia="Arial" w:hAnsi="Arial"/>
          <w:b/>
          <w:bCs/>
          <w:color w:val="185FA5"/>
          <w:sz w:val="28"/>
          <w:szCs w:val="28"/>
        </w:rPr>
        <w:t xml:space="preserve">7.2 Convenções de eventos no Event Bus</w:t>
      </w:r>
    </w:p>
    <w:p>
      <w:pPr>
        <w:spacing w:before="60" w:after="100"/>
        <w:jc w:val="left"/>
      </w:pPr>
      <w:r>
        <w:rPr>
          <w:rFonts w:ascii="Arial" w:cs="Arial" w:eastAsia="Arial" w:hAnsi="Arial"/>
          <w:color w:val="333333"/>
          <w:sz w:val="20"/>
          <w:szCs w:val="20"/>
        </w:rPr>
        <w:t xml:space="preserve">Todos os eventos publicados no NATS/Kafka seguem o formato: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DDDDD" w:sz="1"/>
              <w:left w:val="single" w:color="DDDDDD" w:sz="1"/>
              <w:bottom w:val="single" w:color="DDDDDD" w:sz="1"/>
              <w:right w:val="single" w:color="DDDDDD" w:sz="1"/>
            </w:tcBorders>
            <w:shd w:fill="0D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Campo</w:t>
            </w:r>
          </w:p>
        </w:tc>
        <w:tc>
          <w:tcPr>
            <w:tcW w:type="dxa" w:w="3000"/>
            <w:tcBorders>
              <w:top w:val="single" w:color="DDDDDD" w:sz="1"/>
              <w:left w:val="single" w:color="DDDDDD" w:sz="1"/>
              <w:bottom w:val="single" w:color="DDDDDD" w:sz="1"/>
              <w:right w:val="single" w:color="DDDDDD" w:sz="1"/>
            </w:tcBorders>
            <w:shd w:fill="0D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Exemplo</w:t>
            </w:r>
          </w:p>
        </w:tc>
        <w:tc>
          <w:tcPr>
            <w:tcW w:type="dxa" w:w="4360"/>
            <w:tcBorders>
              <w:top w:val="single" w:color="DDDDDD" w:sz="1"/>
              <w:left w:val="single" w:color="DDDDDD" w:sz="1"/>
              <w:bottom w:val="single" w:color="DDDDDD" w:sz="1"/>
              <w:right w:val="single" w:color="DDDDDD" w:sz="1"/>
            </w:tcBorders>
            <w:shd w:fill="0D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Descrição</w:t>
            </w:r>
          </w:p>
        </w:tc>
      </w:tr>
      <w:tr>
        <w:tc>
          <w:tcPr>
            <w:tcW w:type="dxa" w:w="20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event_type</w:t>
            </w:r>
          </w:p>
        </w:tc>
        <w:tc>
          <w:tcPr>
            <w:tcW w:type="dxa" w:w="30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ticket.created</w:t>
            </w:r>
          </w:p>
        </w:tc>
        <w:tc>
          <w:tcPr>
            <w:tcW w:type="dxa" w:w="43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domínio.entidade.acção em snake_case</w:t>
            </w:r>
          </w:p>
        </w:tc>
      </w:tr>
      <w:tr>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tenant_id</w:t>
            </w:r>
          </w:p>
        </w:tc>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uuid-v4</w:t>
            </w:r>
          </w:p>
        </w:tc>
        <w:tc>
          <w:tcPr>
            <w:tcW w:type="dxa" w:w="4360"/>
            <w:tcBorders>
              <w:top w:val="single" w:color="DDDDDD" w:sz="1"/>
              <w:left w:val="single" w:color="DDDDDD" w:sz="1"/>
              <w:bottom w:val="single" w:color="DDDDDD" w:sz="1"/>
              <w:right w:val="single" w:color="DDDDDD"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Sempre presente. Nunca publicar evento sem tenant_id.</w:t>
            </w:r>
          </w:p>
        </w:tc>
      </w:tr>
      <w:tr>
        <w:tc>
          <w:tcPr>
            <w:tcW w:type="dxa" w:w="20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event_id</w:t>
            </w:r>
          </w:p>
        </w:tc>
        <w:tc>
          <w:tcPr>
            <w:tcW w:type="dxa" w:w="30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uuid-v4</w:t>
            </w:r>
          </w:p>
        </w:tc>
        <w:tc>
          <w:tcPr>
            <w:tcW w:type="dxa" w:w="43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Identificador único do evento. Para deduplicação em consumidores.</w:t>
            </w:r>
          </w:p>
        </w:tc>
      </w:tr>
      <w:tr>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timestamp</w:t>
            </w:r>
          </w:p>
        </w:tc>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ISO 8601 UTC</w:t>
            </w:r>
          </w:p>
        </w:tc>
        <w:tc>
          <w:tcPr>
            <w:tcW w:type="dxa" w:w="4360"/>
            <w:tcBorders>
              <w:top w:val="single" w:color="DDDDDD" w:sz="1"/>
              <w:left w:val="single" w:color="DDDDDD" w:sz="1"/>
              <w:bottom w:val="single" w:color="DDDDDD" w:sz="1"/>
              <w:right w:val="single" w:color="DDDDDD"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Momento de publicação do evento.</w:t>
            </w:r>
          </w:p>
        </w:tc>
      </w:tr>
      <w:tr>
        <w:tc>
          <w:tcPr>
            <w:tcW w:type="dxa" w:w="20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payload</w:t>
            </w:r>
          </w:p>
        </w:tc>
        <w:tc>
          <w:tcPr>
            <w:tcW w:type="dxa" w:w="30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 ...campos relevantes }</w:t>
            </w:r>
          </w:p>
        </w:tc>
        <w:tc>
          <w:tcPr>
            <w:tcW w:type="dxa" w:w="43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Snapshot dos campos relevantes. Não incluir dados sensíveis (PII). Dados sensíveis apenas via referência (entity_id).</w:t>
            </w:r>
          </w:p>
        </w:tc>
      </w:tr>
      <w:tr>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schema_version</w:t>
            </w:r>
          </w:p>
        </w:tc>
        <w:tc>
          <w:tcPr>
            <w:tcW w:type="dxa" w:w="3000"/>
            <w:tcBorders>
              <w:top w:val="single" w:color="DDDDDD" w:sz="1"/>
              <w:left w:val="single" w:color="DDDDDD" w:sz="1"/>
              <w:bottom w:val="single" w:color="DDDDDD" w:sz="1"/>
              <w:right w:val="single" w:color="DDDDDD"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"1.0"</w:t>
            </w:r>
          </w:p>
        </w:tc>
        <w:tc>
          <w:tcPr>
            <w:tcW w:type="dxa" w:w="4360"/>
            <w:tcBorders>
              <w:top w:val="single" w:color="DDDDDD" w:sz="1"/>
              <w:left w:val="single" w:color="DDDDDD" w:sz="1"/>
              <w:bottom w:val="single" w:color="DDDDDD" w:sz="1"/>
              <w:right w:val="single" w:color="DDDDDD"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Versão do schema Avro. Registado no Schema Registry. Permite evolução do schema sem quebrar consumidores.</w:t>
            </w:r>
          </w:p>
        </w:tc>
      </w:tr>
    </w:tbl>
    <w:p>
      <w:r>
        <w:br w:type="page"/>
      </w:r>
    </w:p>
    <w:p>
      <w:pPr>
        <w:pStyle w:val="Heading1"/>
        <w:spacing w:before="360" w:after="160"/>
      </w:pPr>
      <w:r>
        <w:rPr>
          <w:rFonts w:ascii="Arial" w:cs="Arial" w:eastAsia="Arial" w:hAnsi="Arial"/>
          <w:b/>
          <w:bCs/>
          <w:color w:val="0D3B6E"/>
          <w:sz w:val="36"/>
          <w:szCs w:val="36"/>
        </w:rPr>
        <w:t xml:space="preserve">8. Segurança e Conformidade</w:t>
      </w:r>
    </w:p>
    <w:p>
      <w:pPr>
        <w:pStyle w:val="Heading2"/>
        <w:spacing w:before="280" w:after="120"/>
      </w:pPr>
      <w:r>
        <w:rPr>
          <w:rFonts w:ascii="Arial" w:cs="Arial" w:eastAsia="Arial" w:hAnsi="Arial"/>
          <w:b/>
          <w:bCs/>
          <w:color w:val="185FA5"/>
          <w:sz w:val="28"/>
          <w:szCs w:val="28"/>
        </w:rPr>
        <w:t xml:space="preserve">8.1 Modelo de autenticação e autorização</w:t>
      </w:r>
    </w:p>
    <w:p>
      <w:pPr>
        <w:pStyle w:val="ListParagraph"/>
        <w:numPr>
          <w:ilvl w:val="0"/>
          <w:numId w:val="2"/>
        </w:numPr>
        <w:spacing w:before="40" w:after="40"/>
      </w:pPr>
      <w:r>
        <w:rPr>
          <w:rFonts w:ascii="Arial" w:cs="Arial" w:eastAsia="Arial" w:hAnsi="Arial"/>
          <w:color w:val="333333"/>
          <w:sz w:val="20"/>
          <w:szCs w:val="20"/>
        </w:rPr>
        <w:t xml:space="preserve">OAuth2 Authorization Code Flow para utilizadores humanos (portal web)</w:t>
      </w:r>
    </w:p>
    <w:p>
      <w:pPr>
        <w:pStyle w:val="ListParagraph"/>
        <w:numPr>
          <w:ilvl w:val="0"/>
          <w:numId w:val="2"/>
        </w:numPr>
        <w:spacing w:before="40" w:after="40"/>
      </w:pPr>
      <w:r>
        <w:rPr>
          <w:rFonts w:ascii="Arial" w:cs="Arial" w:eastAsia="Arial" w:hAnsi="Arial"/>
          <w:color w:val="333333"/>
          <w:sz w:val="20"/>
          <w:szCs w:val="20"/>
        </w:rPr>
        <w:t xml:space="preserve">Client Credentials Flow para comunicação serviço-a-serviço (M13 → sistemas externos)</w:t>
      </w:r>
    </w:p>
    <w:p>
      <w:pPr>
        <w:pStyle w:val="ListParagraph"/>
        <w:numPr>
          <w:ilvl w:val="0"/>
          <w:numId w:val="2"/>
        </w:numPr>
        <w:spacing w:before="40" w:after="40"/>
      </w:pPr>
      <w:r>
        <w:rPr>
          <w:rFonts w:ascii="Arial" w:cs="Arial" w:eastAsia="Arial" w:hAnsi="Arial"/>
          <w:color w:val="333333"/>
          <w:sz w:val="20"/>
          <w:szCs w:val="20"/>
        </w:rPr>
        <w:t xml:space="preserve">JWT com claims: sub (user_id), tenant_id, roles[], exp</w:t>
      </w:r>
    </w:p>
    <w:p>
      <w:pPr>
        <w:pStyle w:val="ListParagraph"/>
        <w:numPr>
          <w:ilvl w:val="0"/>
          <w:numId w:val="2"/>
        </w:numPr>
        <w:spacing w:before="40" w:after="40"/>
      </w:pPr>
      <w:r>
        <w:rPr>
          <w:rFonts w:ascii="Arial" w:cs="Arial" w:eastAsia="Arial" w:hAnsi="Arial"/>
          <w:color w:val="333333"/>
          <w:sz w:val="20"/>
          <w:szCs w:val="20"/>
        </w:rPr>
        <w:t xml:space="preserve">RBAC hierárquico: permissões granulares (incident:read, incident:write, cmdb:admin) agrupadas em roles, roles atribuídas a utilizadores</w:t>
      </w:r>
    </w:p>
    <w:p>
      <w:pPr>
        <w:pStyle w:val="ListParagraph"/>
        <w:numPr>
          <w:ilvl w:val="0"/>
          <w:numId w:val="2"/>
        </w:numPr>
        <w:spacing w:before="40" w:after="40"/>
      </w:pPr>
      <w:r>
        <w:rPr>
          <w:rFonts w:ascii="Arial" w:cs="Arial" w:eastAsia="Arial" w:hAnsi="Arial"/>
          <w:color w:val="333333"/>
          <w:sz w:val="20"/>
          <w:szCs w:val="20"/>
        </w:rPr>
        <w:t xml:space="preserve">Row-Level Security: cada query ao PostgreSQL é automaticamente filtrada por tenant_id via SET app.current_tenant</w:t>
      </w:r>
    </w:p>
    <w:p>
      <w:pPr>
        <w:spacing w:before="0" w:after="80"/>
      </w:pPr>
      <w:r>
        <w:t xml:space="preserve"/>
      </w:r>
    </w:p>
    <w:p>
      <w:pPr>
        <w:pStyle w:val="Heading2"/>
        <w:spacing w:before="280" w:after="120"/>
      </w:pPr>
      <w:r>
        <w:rPr>
          <w:rFonts w:ascii="Arial" w:cs="Arial" w:eastAsia="Arial" w:hAnsi="Arial"/>
          <w:b/>
          <w:bCs/>
          <w:color w:val="185FA5"/>
          <w:sz w:val="28"/>
          <w:szCs w:val="28"/>
        </w:rPr>
        <w:t xml:space="preserve">8.2 SLAs por tier de serviço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c>
          <w:tcPr>
            <w:tcW w:type="dxa" w:w="2000"/>
            <w:tcBorders>
              <w:top w:val="single" w:color="DDDDDD" w:sz="1"/>
              <w:left w:val="single" w:color="DDDDDD" w:sz="1"/>
              <w:bottom w:val="single" w:color="DDDDDD" w:sz="1"/>
              <w:right w:val="single" w:color="DDDDDD" w:sz="1"/>
            </w:tcBorders>
            <w:shd w:fill="0D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Tier</w:t>
            </w:r>
          </w:p>
        </w:tc>
        <w:tc>
          <w:tcPr>
            <w:tcW w:type="dxa" w:w="1800"/>
            <w:tcBorders>
              <w:top w:val="single" w:color="DDDDDD" w:sz="1"/>
              <w:left w:val="single" w:color="DDDDDD" w:sz="1"/>
              <w:bottom w:val="single" w:color="DDDDDD" w:sz="1"/>
              <w:right w:val="single" w:color="DDDDDD" w:sz="1"/>
            </w:tcBorders>
            <w:shd w:fill="0D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Disponibilidade</w:t>
            </w:r>
          </w:p>
        </w:tc>
        <w:tc>
          <w:tcPr>
            <w:tcW w:type="dxa" w:w="1800"/>
            <w:tcBorders>
              <w:top w:val="single" w:color="DDDDDD" w:sz="1"/>
              <w:left w:val="single" w:color="DDDDDD" w:sz="1"/>
              <w:bottom w:val="single" w:color="DDDDDD" w:sz="1"/>
              <w:right w:val="single" w:color="DDDDDD" w:sz="1"/>
            </w:tcBorders>
            <w:shd w:fill="0D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RTO</w:t>
            </w:r>
          </w:p>
        </w:tc>
        <w:tc>
          <w:tcPr>
            <w:tcW w:type="dxa" w:w="1800"/>
            <w:tcBorders>
              <w:top w:val="single" w:color="DDDDDD" w:sz="1"/>
              <w:left w:val="single" w:color="DDDDDD" w:sz="1"/>
              <w:bottom w:val="single" w:color="DDDDDD" w:sz="1"/>
              <w:right w:val="single" w:color="DDDDDD" w:sz="1"/>
            </w:tcBorders>
            <w:shd w:fill="0D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RPO</w:t>
            </w:r>
          </w:p>
        </w:tc>
        <w:tc>
          <w:tcPr>
            <w:tcW w:type="dxa" w:w="1960"/>
            <w:tcBorders>
              <w:top w:val="single" w:color="DDDDDD" w:sz="1"/>
              <w:left w:val="single" w:color="DDDDDD" w:sz="1"/>
              <w:bottom w:val="single" w:color="DDDDDD" w:sz="1"/>
              <w:right w:val="single" w:color="DDDDDD" w:sz="1"/>
            </w:tcBorders>
            <w:shd w:fill="0D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Suporte</w:t>
            </w:r>
          </w:p>
        </w:tc>
      </w:tr>
      <w:tr>
        <w:tc>
          <w:tcPr>
            <w:tcW w:type="dxa" w:w="20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Starter</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99.5%</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4h</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24h</w:t>
            </w:r>
          </w:p>
        </w:tc>
        <w:tc>
          <w:tcPr>
            <w:tcW w:type="dxa" w:w="19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E-mail (48h)</w:t>
            </w:r>
          </w:p>
        </w:tc>
      </w:tr>
      <w:tr>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Professional</w:t>
            </w:r>
          </w:p>
        </w:tc>
        <w:tc>
          <w:tcPr>
            <w:tcW w:type="dxa" w:w="1800"/>
            <w:tcBorders>
              <w:top w:val="single" w:color="DDDDDD" w:sz="1"/>
              <w:left w:val="single" w:color="DDDDDD" w:sz="1"/>
              <w:bottom w:val="single" w:color="DDDDDD" w:sz="1"/>
              <w:right w:val="single" w:color="DDDDDD"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99.9%</w:t>
            </w:r>
          </w:p>
        </w:tc>
        <w:tc>
          <w:tcPr>
            <w:tcW w:type="dxa" w:w="1800"/>
            <w:tcBorders>
              <w:top w:val="single" w:color="DDDDDD" w:sz="1"/>
              <w:left w:val="single" w:color="DDDDDD" w:sz="1"/>
              <w:bottom w:val="single" w:color="DDDDDD" w:sz="1"/>
              <w:right w:val="single" w:color="DDDDDD"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2h</w:t>
            </w:r>
          </w:p>
        </w:tc>
        <w:tc>
          <w:tcPr>
            <w:tcW w:type="dxa" w:w="1800"/>
            <w:tcBorders>
              <w:top w:val="single" w:color="DDDDDD" w:sz="1"/>
              <w:left w:val="single" w:color="DDDDDD" w:sz="1"/>
              <w:bottom w:val="single" w:color="DDDDDD" w:sz="1"/>
              <w:right w:val="single" w:color="DDDDDD"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4h</w:t>
            </w:r>
          </w:p>
        </w:tc>
        <w:tc>
          <w:tcPr>
            <w:tcW w:type="dxa" w:w="1960"/>
            <w:tcBorders>
              <w:top w:val="single" w:color="DDDDDD" w:sz="1"/>
              <w:left w:val="single" w:color="DDDDDD" w:sz="1"/>
              <w:bottom w:val="single" w:color="DDDDDD" w:sz="1"/>
              <w:right w:val="single" w:color="DDDDDD" w:sz="1"/>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E-mail + chat (8h)</w:t>
            </w:r>
          </w:p>
        </w:tc>
      </w:tr>
      <w:tr>
        <w:tc>
          <w:tcPr>
            <w:tcW w:type="dxa" w:w="20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Enterprise</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99.99%</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30min</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1h</w:t>
            </w:r>
          </w:p>
        </w:tc>
        <w:tc>
          <w:tcPr>
            <w:tcW w:type="dxa" w:w="19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24/7 phone + SLA dedicado</w:t>
            </w:r>
          </w:p>
        </w:tc>
      </w:tr>
    </w:tbl>
    <w:p>
      <w:pPr>
        <w:spacing w:before="0" w:after="120"/>
      </w:pPr>
      <w:r>
        <w:t xml:space="preserve"/>
      </w:r>
    </w:p>
    <w:p>
      <w:pPr>
        <w:pStyle w:val="Heading2"/>
        <w:spacing w:before="280" w:after="120"/>
      </w:pPr>
      <w:r>
        <w:rPr>
          <w:rFonts w:ascii="Arial" w:cs="Arial" w:eastAsia="Arial" w:hAnsi="Arial"/>
          <w:b/>
          <w:bCs/>
          <w:color w:val="185FA5"/>
          <w:sz w:val="28"/>
          <w:szCs w:val="28"/>
        </w:rPr>
        <w:t xml:space="preserve">8.3 Requisitos mínimos de segurança para MVP</w:t>
      </w:r>
    </w:p>
    <w:p>
      <w:pPr>
        <w:pStyle w:val="ListParagraph"/>
        <w:numPr>
          <w:ilvl w:val="0"/>
          <w:numId w:val="2"/>
        </w:numPr>
        <w:spacing w:before="40" w:after="40"/>
      </w:pPr>
      <w:r>
        <w:rPr>
          <w:rFonts w:ascii="Arial" w:cs="Arial" w:eastAsia="Arial" w:hAnsi="Arial"/>
          <w:color w:val="333333"/>
          <w:sz w:val="20"/>
          <w:szCs w:val="20"/>
        </w:rPr>
        <w:t xml:space="preserve">Encriptação em trânsito: TLS 1.3 obrigatório em todos os endpoints</w:t>
      </w:r>
    </w:p>
    <w:p>
      <w:pPr>
        <w:pStyle w:val="ListParagraph"/>
        <w:numPr>
          <w:ilvl w:val="0"/>
          <w:numId w:val="2"/>
        </w:numPr>
        <w:spacing w:before="40" w:after="40"/>
      </w:pPr>
      <w:r>
        <w:rPr>
          <w:rFonts w:ascii="Arial" w:cs="Arial" w:eastAsia="Arial" w:hAnsi="Arial"/>
          <w:color w:val="333333"/>
          <w:sz w:val="20"/>
          <w:szCs w:val="20"/>
        </w:rPr>
        <w:t xml:space="preserve">Encriptação em repouso: campos PII (email, nome) encriptados ao nível da aplicação com chave por tenant</w:t>
      </w:r>
    </w:p>
    <w:p>
      <w:pPr>
        <w:pStyle w:val="ListParagraph"/>
        <w:numPr>
          <w:ilvl w:val="0"/>
          <w:numId w:val="2"/>
        </w:numPr>
        <w:spacing w:before="40" w:after="40"/>
      </w:pPr>
      <w:r>
        <w:rPr>
          <w:rFonts w:ascii="Arial" w:cs="Arial" w:eastAsia="Arial" w:hAnsi="Arial"/>
          <w:color w:val="333333"/>
          <w:sz w:val="20"/>
          <w:szCs w:val="20"/>
        </w:rPr>
        <w:t xml:space="preserve">Backups automáticos: diários com retenção de 30 dias; testados mensalmente com restore de validação</w:t>
      </w:r>
    </w:p>
    <w:p>
      <w:pPr>
        <w:pStyle w:val="ListParagraph"/>
        <w:numPr>
          <w:ilvl w:val="0"/>
          <w:numId w:val="2"/>
        </w:numPr>
        <w:spacing w:before="40" w:after="40"/>
      </w:pPr>
      <w:r>
        <w:rPr>
          <w:rFonts w:ascii="Arial" w:cs="Arial" w:eastAsia="Arial" w:hAnsi="Arial"/>
          <w:color w:val="333333"/>
          <w:sz w:val="20"/>
          <w:szCs w:val="20"/>
        </w:rPr>
        <w:t xml:space="preserve">Penetration testing: obrigatório antes de lançamento público e semestral depois</w:t>
      </w:r>
    </w:p>
    <w:p>
      <w:pPr>
        <w:pStyle w:val="ListParagraph"/>
        <w:numPr>
          <w:ilvl w:val="0"/>
          <w:numId w:val="2"/>
        </w:numPr>
        <w:spacing w:before="40" w:after="40"/>
      </w:pPr>
      <w:r>
        <w:rPr>
          <w:rFonts w:ascii="Arial" w:cs="Arial" w:eastAsia="Arial" w:hAnsi="Arial"/>
          <w:color w:val="333333"/>
          <w:sz w:val="20"/>
          <w:szCs w:val="20"/>
        </w:rPr>
        <w:t xml:space="preserve">GDPR/LGPD: endpoint de exportação de dados do utilizador e de eliminação completa (right to erasure) por tenant</w:t>
      </w:r>
    </w:p>
    <w:p>
      <w:r>
        <w:br w:type="page"/>
      </w:r>
    </w:p>
    <w:p>
      <w:pPr>
        <w:pStyle w:val="Heading1"/>
        <w:spacing w:before="360" w:after="160"/>
      </w:pPr>
      <w:r>
        <w:rPr>
          <w:rFonts w:ascii="Arial" w:cs="Arial" w:eastAsia="Arial" w:hAnsi="Arial"/>
          <w:b/>
          <w:bCs/>
          <w:color w:val="0D3B6E"/>
          <w:sz w:val="36"/>
          <w:szCs w:val="36"/>
        </w:rPr>
        <w:t xml:space="preserve">9. Glossário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0D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Termo</w:t>
            </w:r>
          </w:p>
        </w:tc>
        <w:tc>
          <w:tcPr>
            <w:tcW w:type="dxa" w:w="6960"/>
            <w:tcBorders>
              <w:top w:val="single" w:color="DDDDDD" w:sz="1"/>
              <w:left w:val="single" w:color="DDDDDD" w:sz="1"/>
              <w:bottom w:val="single" w:color="DDDDDD" w:sz="1"/>
              <w:right w:val="single" w:color="DDDDDD" w:sz="1"/>
            </w:tcBorders>
            <w:shd w:fill="0D3B6E"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Definição</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CMDB</w:t>
            </w:r>
          </w:p>
        </w:tc>
        <w:tc>
          <w:tcPr>
            <w:tcW w:type="dxa" w:w="69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Configuration Management Database — repositório de todos os activos de TI (Configuration Items) e as suas relações.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Cold start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Estado inicial de um modelo de IA sem dados históricos do tenant. Resolvido com modelos pré-treinados em datasets públicos.</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DXA</w:t>
            </w:r>
          </w:p>
        </w:tc>
        <w:tc>
          <w:tcPr>
            <w:tcW w:type="dxa" w:w="69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Document eXtensible Architecture — unidade de medida interna do formato DOCX (1440 DXA = 1 polegada).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Event Bus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Componente de mensageria assíncrona (NATS/Kafka) que desacopla os módulos. Nenhum módulo acede directamente ao DB de outro.</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Feature flag</w:t>
            </w:r>
          </w:p>
        </w:tc>
        <w:tc>
          <w:tcPr>
            <w:tcW w:type="dxa" w:w="69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Configuração que activa ou desactiva uma funcionalidade por tenant sem deploy de código.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Fine-tuning</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Processo de ajuste de um modelo de IA pré-treinado com dados específicos do tenant para aumentar a precisão.</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ITFM</w:t>
            </w:r>
          </w:p>
        </w:tc>
        <w:tc>
          <w:tcPr>
            <w:tcW w:type="dxa" w:w="69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IT Financial Management — gestão financeira dos custos e investimentos de TI.</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ITIL v4</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Information Technology Infrastructure Library — framework de boas práticas para gestão de serviços de TI.</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MLOps</w:t>
            </w:r>
          </w:p>
        </w:tc>
        <w:tc>
          <w:tcPr>
            <w:tcW w:type="dxa" w:w="69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Conjunto de práticas para gerir o ciclo de vida de modelos de Machine Learning em produção (versionamento, monitoring, retreinamento).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MTTR</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Mean Time To Recover/Resolve — tempo médio para recuperar de um incidente ou resolver um ticket.</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Multi-tenancy</w:t>
            </w:r>
          </w:p>
        </w:tc>
        <w:tc>
          <w:tcPr>
            <w:tcW w:type="dxa" w:w="69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Arquitectura onde múltiplos clientes (tenants) partilham a mesma infra com isolamento de dados garantido.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NER</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Named Entity Recognition — técnica de NLP para identificar entidades nomeadas (sistemas, utilizadores, erros) em texto livre.</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pgvector</w:t>
            </w:r>
          </w:p>
        </w:tc>
        <w:tc>
          <w:tcPr>
            <w:tcW w:type="dxa" w:w="69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Extensão do PostgreSQL para armazenamento e busca por similaridade de vectores (embeddings).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RLS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Row-Level Security — funcionalidade do PostgreSQL que filtra automaticamente as linhas de uma tabela com base em políticas de segurança.</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Runbook</w:t>
            </w:r>
          </w:p>
        </w:tc>
        <w:tc>
          <w:tcPr>
            <w:tcW w:type="dxa" w:w="69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Conjunto de instruções/scripts para executar uma operação de TI de forma reproduzível e automatizada.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SLA</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Service Level Agreement — acordo de nível de serviço que define disponibilidade, tempos de resposta e outros KPIs.</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SSE</w:t>
            </w:r>
          </w:p>
        </w:tc>
        <w:tc>
          <w:tcPr>
            <w:tcW w:type="dxa" w:w="69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Server-Sent Events — protocolo HTTP para envio de eventos do servidor para o cliente em tempo real (unidireccional).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Tenant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Cliente/organização individual que usa a plataforma SaaS. Os dados de cada tenant são completamente isolados.</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TrustOps</w:t>
            </w:r>
          </w:p>
        </w:tc>
        <w:tc>
          <w:tcPr>
            <w:tcW w:type="dxa" w:w="69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Conjunto de práticas para garantir transparência, explicabilidade, fairness e segurança nas operações de IA.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VRP</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Vehicle Routing Problem — problema de optimização de rotas para múltiplos veículos/técnicos com múltiplas paragens (M20).</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XAI</w:t>
            </w:r>
          </w:p>
        </w:tc>
        <w:tc>
          <w:tcPr>
            <w:tcW w:type="dxa" w:w="69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Explainable AI — técnicas para tornar as decisões de modelos de IA interpretáveis e explicáveis (SHAP, LIME).</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center"/>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4" w:space="1"/>
      </w:pBdr>
    </w:pPr>
    <w:r>
      <w:rPr>
        <w:rFonts w:ascii="Arial" w:cs="Arial" w:eastAsia="Arial" w:hAnsi="Arial"/>
        <w:color w:val="185FA5"/>
        <w:sz w:val="16"/>
        <w:szCs w:val="16"/>
      </w:rPr>
      <w:t xml:space="preserve">Ecossistema SaaS ITSM Inteligente  </w:t>
    </w:r>
    <w:r>
      <w:rPr>
        <w:rFonts w:ascii="Arial" w:cs="Arial" w:eastAsia="Arial" w:hAnsi="Arial"/>
        <w:color w:val="999999"/>
        <w:sz w:val="16"/>
        <w:szCs w:val="16"/>
      </w:rPr>
      <w:t xml:space="preserve">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3B6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85FA5"/>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85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2026-03-22T15:18:41.965Z</dcterms:created>
  <dcterms:modified xsi:type="dcterms:W3CDTF">2026-03-22T15:18:41.966Z</dcterms:modified>
</cp:coreProperties>
</file>

<file path=docProps/custom.xml><?xml version="1.0" encoding="utf-8"?>
<Properties xmlns="http://schemas.openxmlformats.org/officeDocument/2006/custom-properties" xmlns:vt="http://schemas.openxmlformats.org/officeDocument/2006/docPropsVTypes"/>
</file>