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color w:val="5A6070"/>
          <w:sz w:val="18"/>
        </w:rPr>
        <w:t>docs/persona · teste de docs/submissions/timeline-submission-finep-digital.html, por leitura de código (extensão do Chrome não disponível neste contexto de subagente) — checklist operacional real, não protótipo, para a submissão ao edital FINEP "Mais Inovação Brasil — Rodada 2 — Tecnologias Digitais"</w:t>
      </w:r>
    </w:p>
    <w:p>
      <w:pPr>
        <w:pStyle w:val="Heading1"/>
      </w:pPr>
      <w:r>
        <w:t>Yuki Almeida</w:t>
      </w:r>
    </w:p>
    <w:p>
      <w:pPr>
        <w:ind w:left="454"/>
      </w:pPr>
      <w:r>
        <w:rPr>
          <w:i/>
          <w:sz w:val="22"/>
        </w:rPr>
        <w:t>"Aprovado no mérito não é a mesma coisa que contratado — eu já vivi isso na pele com o Finep anterior: quatro meses correndo atrás de certidão em cima de certidão, com um relógio que ninguém tinha me avisado que existia."</w:t>
      </w:r>
    </w:p>
    <w:p>
      <w:r>
        <w:rPr>
          <w:b w:val="0"/>
          <w:i w:val="0"/>
        </w:rPr>
        <w:t xml:space="preserve">Teste do arquivo real (não protótipo) </w:t>
      </w:r>
      <w:r>
        <w:rPr>
          <w:rFonts w:ascii="Consolas" w:hAnsi="Consolas"/>
          <w:b w:val="0"/>
          <w:sz w:val="19"/>
        </w:rPr>
        <w:t>docs/submissions/timeline-submission-finep-digital.html</w:t>
      </w:r>
      <w:r>
        <w:rPr>
          <w:b w:val="0"/>
          <w:i w:val="0"/>
        </w:rPr>
        <w:t xml:space="preserve">, em 2026-08-02. As ferramentas de browser (claude-in-chrome) não estavam disponíveis neste contexto de subagente, então a avaliação foi feita por </w:t>
      </w:r>
      <w:r>
        <w:rPr>
          <w:b/>
          <w:i w:val="0"/>
        </w:rPr>
        <w:t>leitura de código linha a linha</w:t>
      </w:r>
      <w:r>
        <w:rPr>
          <w:b w:val="0"/>
          <w:i w:val="0"/>
        </w:rPr>
        <w:t xml:space="preserve"> — HTML/CSS/JS do arquivo inteiro (818 linhas) — simulando mentalmente cada interação (marcar os 16 critérios, escolher Arranjo em Rede e o sub-teste financeiro certo, tentar liberar os dois gates antes da hora), e </w:t>
      </w:r>
      <w:r>
        <w:rPr>
          <w:b/>
          <w:i w:val="0"/>
        </w:rPr>
        <w:t xml:space="preserve">cruzando cada um dos 16 critérios da Fase 1, os itens de Riscos, Pós-aprovação e os dois itens marcados </w:t>
      </w:r>
      <w:r>
        <w:rPr>
          <w:rFonts w:ascii="Consolas" w:hAnsi="Consolas"/>
          <w:b/>
          <w:sz w:val="19"/>
        </w:rPr>
        <w:t>[?]</w:t>
      </w:r>
      <w:r>
        <w:rPr>
          <w:b/>
          <w:i w:val="0"/>
        </w:rPr>
        <w:t xml:space="preserve"> da Fase 2 contra o Regulamento (14 páginas) e o Anexo 1 (7 páginas) reais</w:t>
      </w:r>
      <w:r>
        <w:rPr>
          <w:b w:val="0"/>
          <w:i w:val="0"/>
        </w:rPr>
        <w:t xml:space="preserve"> em </w:t>
      </w:r>
      <w:r>
        <w:rPr>
          <w:rFonts w:ascii="Consolas" w:hAnsi="Consolas"/>
          <w:b w:val="0"/>
          <w:sz w:val="19"/>
        </w:rPr>
        <w:t>docs/finep-ref-digital/</w:t>
      </w:r>
      <w:r>
        <w:rPr>
          <w:b w:val="0"/>
          <w:i w:val="0"/>
        </w:rPr>
        <w:t xml:space="preserve">, lidos na íntegra nesta mesma sessão. A mecânica em si (gate 0/16 → GO, gate da Fase 4, persistência via </w:t>
      </w:r>
      <w:r>
        <w:rPr>
          <w:rFonts w:ascii="Consolas" w:hAnsi="Consolas"/>
          <w:b w:val="0"/>
          <w:sz w:val="19"/>
        </w:rPr>
        <w:t>localStorage</w:t>
      </w:r>
      <w:r>
        <w:rPr>
          <w:b w:val="0"/>
          <w:i w:val="0"/>
        </w:rPr>
        <w:t>, exportação AcroForm) já havia sido validada por teste automatizado antes deste teste — aqui o foco foi exclusivamente: o conteúdo é correto, completo, e de fato ajuda quem vai submeter esta proposta específica?</w:t>
      </w:r>
    </w:p>
    <w:p/>
    <w:p>
      <w:pPr>
        <w:pStyle w:val="Heading2"/>
      </w:pPr>
      <w:r>
        <w:t>Quem é essa persona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Papel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Head de Parcerias e Captação (não fundadora) de uma scale-up de infraestrutura de IA — orquestração de GPUs e ferramentas de MLOps, mirando a Linha Temática 1.2 (camadas de ferramentas e software de sistema da Pilha de IA)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Organização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 xml:space="preserve">~40 pessoas, já tem um contrato Finep ativo de uma rodada anterior (outro edital, ainda em fase de prestação de contas) — o que a torna a pessoa certa para notar o que falta pensar sobre </w:t>
            </w:r>
            <w:r>
              <w:rPr>
                <w:b/>
                <w:i w:val="0"/>
              </w:rPr>
              <w:t>depois</w:t>
            </w:r>
            <w:r>
              <w:rPr>
                <w:b w:val="0"/>
                <w:i w:val="0"/>
              </w:rPr>
              <w:t xml:space="preserve"> da aprovação, não só sobre a submissão em si. Está estruturando, para esta proposta, um </w:t>
            </w:r>
            <w:r>
              <w:rPr>
                <w:b/>
                <w:i w:val="0"/>
              </w:rPr>
              <w:t>Arranjo em Rede</w:t>
            </w:r>
            <w:r>
              <w:rPr>
                <w:b w:val="0"/>
                <w:i w:val="0"/>
              </w:rPr>
              <w:t xml:space="preserve"> com duas outras startups coexecutoras + uma ICT parceira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Editais/programas acompanhados hoje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5 simultaneamente — este edital, a fase de contratação do Finep anterior (que já a ensinou, na marra, sobre prazos pós-aprovação), dois editais estaduais de inovação, e um programa de fomento do CNPq em fase de decisão interna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Ferramentas atuais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Planilha de compliance compartilhada com o contador, um board no Notion para acompanhar entregáveis da contratação em andamento, e reuniões semanais de 30 min com o sócio técnico e a ICT parceira para revisar pendências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Familiaridade técnica</w:t>
            </w:r>
          </w:p>
        </w:tc>
        <w:tc>
          <w:tcPr>
            <w:tcW w:type="dxa" w:w="4320"/>
          </w:tcPr>
          <w:p>
            <w:r>
              <w:rPr>
                <w:b w:val="0"/>
                <w:i w:val="0"/>
              </w:rPr>
              <w:t>Alta com processo Finep (é a segunda vez que ela lidera uma captação Finep) — o que lhe dá vocabulário e memória institucional suficientes para notar quando um checklist omite algo que ela já sofreu na prática, mesmo que o Regulamento deste edital específico seja novo para ela</w:t>
            </w:r>
          </w:p>
        </w:tc>
      </w:tr>
    </w:tbl>
    <w:p>
      <w:pPr>
        <w:pStyle w:val="Heading3"/>
      </w:pPr>
      <w:r>
        <w:t>Objetivos</w:t>
      </w:r>
    </w:p>
    <w:p>
      <w:pPr>
        <w:pStyle w:val="ListBullet"/>
      </w:pPr>
      <w:r>
        <w:rPr>
          <w:b w:val="0"/>
          <w:i w:val="0"/>
        </w:rPr>
        <w:t>Confirmar, antes de investir semanas de FAP e orçamento, que o Arranjo em Rede que está montando (2 coexecutoras + 1 ICT) atende a todos os requisitos específicos desse formato — não quer descobrir uma condição de exclusão de grupo econômico ou de faturamento mínimo faltando na reta final.</w:t>
      </w:r>
    </w:p>
    <w:p>
      <w:pPr>
        <w:pStyle w:val="ListBullet"/>
      </w:pPr>
      <w:r>
        <w:rPr>
          <w:b w:val="0"/>
          <w:i w:val="0"/>
        </w:rPr>
        <w:t xml:space="preserve">Ter clareza total sobre o que é exigido </w:t>
      </w:r>
      <w:r>
        <w:rPr>
          <w:b/>
          <w:i w:val="0"/>
        </w:rPr>
        <w:t>para submeter</w:t>
      </w:r>
      <w:r>
        <w:rPr>
          <w:b w:val="0"/>
          <w:i w:val="0"/>
        </w:rPr>
        <w:t xml:space="preserve"> versus o que só vira relevante </w:t>
      </w:r>
      <w:r>
        <w:rPr>
          <w:b/>
          <w:i w:val="0"/>
        </w:rPr>
        <w:t>depois de aprovada</w:t>
      </w:r>
      <w:r>
        <w:rPr>
          <w:b w:val="0"/>
          <w:i w:val="0"/>
        </w:rPr>
        <w:t xml:space="preserve"> — porque já perdeu tempo real, na rodada anterior, indo atrás de certidão que não era necessária ainda.</w:t>
      </w:r>
    </w:p>
    <w:p>
      <w:pPr>
        <w:pStyle w:val="ListBullet"/>
      </w:pPr>
      <w:r>
        <w:rPr>
          <w:b w:val="0"/>
          <w:i w:val="0"/>
        </w:rPr>
        <w:t>Não deixar a equipe (e a própria diretoria) achar que "aprovado no mérito" significa "dinheiro garantido" — ela sabe, pela experiência anterior, que a etapa de contratação tem prazo próprio e pode falhar por razões que nada têm a ver com a qualidade técnica do projeto.</w:t>
      </w:r>
    </w:p>
    <w:p>
      <w:pPr>
        <w:pStyle w:val="ListBullet"/>
      </w:pPr>
      <w:r>
        <w:rPr>
          <w:b w:val="0"/>
          <w:i w:val="0"/>
        </w:rPr>
        <w:t>Delegar com segurança: números financeiros para o contador, cláusulas de arranjo para o sócio jurídico, sem perder o controle de quem já resolveu o quê.</w:t>
      </w:r>
    </w:p>
    <w:p>
      <w:pPr>
        <w:pStyle w:val="Heading3"/>
      </w:pPr>
      <w:r>
        <w:t>Frustrações atuais (antes de usar este checklist)</w:t>
      </w:r>
    </w:p>
    <w:p>
      <w:pPr>
        <w:pStyle w:val="ListBullet"/>
      </w:pPr>
      <w:r>
        <w:rPr>
          <w:b w:val="0"/>
          <w:i w:val="0"/>
        </w:rPr>
        <w:t>Na rodada Finep anterior, só descobriu o prazo de 4 meses para assinar o Termo de Outorga depois da aprovação (contando a partir da decisão, não da comunicação) quando já tinha "torrado" seis semanas organizando a comemoração interna em vez de já preparar a documentação de contratação.</w:t>
      </w:r>
    </w:p>
    <w:p>
      <w:pPr>
        <w:pStyle w:val="ListBullet"/>
      </w:pPr>
      <w:r>
        <w:rPr>
          <w:b w:val="0"/>
          <w:i w:val="0"/>
        </w:rPr>
        <w:t>Já se confundiu, num edital estadual anterior, sobre se um documento financeiro do grupo econômico da empresa era "em vez de" ou "além de" o balanço assinado pelo contador — perdeu um dia inteiro em dúvida e ligou para o órgão para confirmar.</w:t>
      </w:r>
    </w:p>
    <w:p>
      <w:pPr>
        <w:pStyle w:val="ListBullet"/>
      </w:pPr>
      <w:r>
        <w:rPr>
          <w:b w:val="0"/>
          <w:i w:val="0"/>
        </w:rPr>
        <w:t>Tem memória viva de aprender, tarde, que "proposta aprovada" e "proposta contratada" não são a mesma coisa quando o orçamento do edital está perto do teto — já viu um caso parecido acontecer com uma empresa parceira em outro programa.</w:t>
      </w:r>
    </w:p>
    <w:p>
      <w:pPr>
        <w:pStyle w:val="Heading2"/>
      </w:pPr>
      <w:r>
        <w:t>Tarefas testadas</w:t>
      </w:r>
    </w:p>
    <w:p>
      <w:pPr>
        <w:pStyle w:val="ListNumber"/>
      </w:pPr>
      <w:r>
        <w:rPr>
          <w:b w:val="0"/>
          <w:i w:val="0"/>
        </w:rPr>
        <w:t xml:space="preserve">Percorrer os 16 critérios da Fase 1 como se fosse marcá-los para a empresa dela, escolhendo o ramo </w:t>
      </w:r>
      <w:r>
        <w:rPr>
          <w:b/>
          <w:i w:val="0"/>
        </w:rPr>
        <w:t>Arranjo em Rede</w:t>
      </w:r>
      <w:r>
        <w:rPr>
          <w:b w:val="0"/>
          <w:i w:val="0"/>
        </w:rPr>
        <w:t xml:space="preserve"> (caso real: 2 coexecutoras + 1 ICT) e conferir se os 5 sub-itens (</w:t>
      </w:r>
      <w:r>
        <w:rPr>
          <w:rFonts w:ascii="Consolas" w:hAnsi="Consolas"/>
          <w:b w:val="0"/>
          <w:sz w:val="19"/>
        </w:rPr>
        <w:t>f1-9-r1</w:t>
      </w:r>
      <w:r>
        <w:rPr>
          <w:b w:val="0"/>
          <w:i w:val="0"/>
        </w:rPr>
        <w:t xml:space="preserve"> a </w:t>
      </w:r>
      <w:r>
        <w:rPr>
          <w:rFonts w:ascii="Consolas" w:hAnsi="Consolas"/>
          <w:b w:val="0"/>
          <w:sz w:val="19"/>
        </w:rPr>
        <w:t>f1-9-r5</w:t>
      </w:r>
      <w:r>
        <w:rPr>
          <w:b w:val="0"/>
          <w:i w:val="0"/>
        </w:rPr>
        <w:t>) batem exatamente, cláusula por cláusula, com o item 3.ii do Anexo 1 — inclusive a nota sazonal jan-mar sobre receita operacional bruta.</w:t>
      </w:r>
    </w:p>
    <w:p>
      <w:pPr>
        <w:pStyle w:val="ListNumber"/>
      </w:pPr>
      <w:r>
        <w:rPr>
          <w:b w:val="0"/>
          <w:i w:val="0"/>
        </w:rPr>
        <w:t>Escolher, no sub-teste financeiro (</w:t>
      </w:r>
      <w:r>
        <w:rPr>
          <w:rFonts w:ascii="Consolas" w:hAnsi="Consolas"/>
          <w:b w:val="0"/>
          <w:sz w:val="19"/>
        </w:rPr>
        <w:t>f1-12</w:t>
      </w:r>
      <w:r>
        <w:rPr>
          <w:b w:val="0"/>
          <w:i w:val="0"/>
        </w:rPr>
        <w:t>, radio b.1/b.2/b.3), o cenário que se aplicaria à empresa dela e conferir se a explicação "💬 Em outras palavras" é suficiente para decidir sem precisar reler o item 7.1.7 do Regulamento do zero.</w:t>
      </w:r>
    </w:p>
    <w:p>
      <w:pPr>
        <w:pStyle w:val="ListNumber"/>
      </w:pPr>
      <w:r>
        <w:rPr>
          <w:b w:val="0"/>
          <w:i w:val="0"/>
        </w:rPr>
        <w:t xml:space="preserve">Ler os dois itens marcados </w:t>
      </w:r>
      <w:r>
        <w:rPr>
          <w:rFonts w:ascii="Consolas" w:hAnsi="Consolas"/>
          <w:b w:val="0"/>
          <w:sz w:val="19"/>
        </w:rPr>
        <w:t>[?]</w:t>
      </w:r>
      <w:r>
        <w:rPr>
          <w:b w:val="0"/>
          <w:i w:val="0"/>
        </w:rPr>
        <w:t xml:space="preserve"> da Fase 2 (</w:t>
      </w:r>
      <w:r>
        <w:rPr>
          <w:rFonts w:ascii="Consolas" w:hAnsi="Consolas"/>
          <w:b w:val="0"/>
          <w:sz w:val="19"/>
        </w:rPr>
        <w:t>f2-2</w:t>
      </w:r>
      <w:r>
        <w:rPr>
          <w:b w:val="0"/>
          <w:i w:val="0"/>
        </w:rPr>
        <w:t xml:space="preserve">, TRL; </w:t>
      </w:r>
      <w:r>
        <w:rPr>
          <w:rFonts w:ascii="Consolas" w:hAnsi="Consolas"/>
          <w:b w:val="0"/>
          <w:sz w:val="19"/>
        </w:rPr>
        <w:t>f2-3</w:t>
      </w:r>
      <w:r>
        <w:rPr>
          <w:b w:val="0"/>
          <w:i w:val="0"/>
        </w:rPr>
        <w:t>, arranjo) e cruzar cada um contra os itens 7.1.6, 7.2.4, 7.2.5 do Regulamento e os itens 1, 3 e 9 do Anexo 1, para confirmar se a ambiguidade apontada é real ou inventada para parecer mais completa.</w:t>
      </w:r>
    </w:p>
    <w:p>
      <w:pPr>
        <w:pStyle w:val="ListNumber"/>
      </w:pPr>
      <w:r>
        <w:rPr>
          <w:b w:val="0"/>
          <w:i w:val="0"/>
        </w:rPr>
        <w:t xml:space="preserve">Ler a caixa de Riscos inteira, inclusive o novo item </w:t>
      </w:r>
      <w:r>
        <w:rPr>
          <w:rFonts w:ascii="Consolas" w:hAnsi="Consolas"/>
          <w:b w:val="0"/>
          <w:sz w:val="19"/>
        </w:rPr>
        <w:t>[?]</w:t>
      </w:r>
      <w:r>
        <w:rPr>
          <w:b w:val="0"/>
          <w:i w:val="0"/>
        </w:rPr>
        <w:t xml:space="preserve"> sobre as sub-linhas 1.1/1.2/1.3, e perguntar, com a lente de quem já viveu uma contratação Finep: "o que eu sei, pela experiência real, que deveria estar aqui e não está?"</w:t>
      </w:r>
    </w:p>
    <w:p>
      <w:pPr>
        <w:pStyle w:val="ListNumber"/>
      </w:pPr>
      <w:r>
        <w:rPr>
          <w:b w:val="0"/>
          <w:i w:val="0"/>
        </w:rPr>
        <w:t xml:space="preserve">Conferir a lista de Pós-aprovação (15 itens) documento por documento contra o item 9.5.ii do Regulamento, e o critério </w:t>
      </w:r>
      <w:r>
        <w:rPr>
          <w:rFonts w:ascii="Consolas" w:hAnsi="Consolas"/>
          <w:b w:val="0"/>
          <w:sz w:val="19"/>
        </w:rPr>
        <w:t>f3-1</w:t>
      </w:r>
      <w:r>
        <w:rPr>
          <w:b w:val="0"/>
          <w:i w:val="0"/>
        </w:rPr>
        <w:t xml:space="preserve"> (documentação financeira) contra o item 6.10.b e seus subitens b.1 a b.4.</w:t>
      </w:r>
    </w:p>
    <w:p>
      <w:pPr>
        <w:pStyle w:val="Heading2"/>
      </w:pPr>
      <w:r>
        <w:t>Parecer — dores identificadas</w:t>
      </w:r>
    </w:p>
    <w:p>
      <w:r>
        <w:rPr>
          <w:b/>
          <w:sz w:val="24"/>
        </w:rPr>
        <w:t>Dor 1 — nem a caixa de Riscos nem a seção Pós-aprovação avisam que "aprovado no mérito" não é sinônimo de "contrato garantido"</w:t>
      </w:r>
      <w:r>
        <w:rPr>
          <w:b/>
          <w:color w:val="B45309"/>
        </w:rPr>
        <w:t xml:space="preserve">  🟡 média</w:t>
      </w:r>
    </w:p>
    <w:p>
      <w:r>
        <w:rPr>
          <w:b/>
          <w:i w:val="0"/>
        </w:rPr>
        <w:t>O que aconteceu:</w:t>
      </w:r>
      <w:r>
        <w:rPr>
          <w:b w:val="0"/>
          <w:i w:val="0"/>
        </w:rPr>
        <w:t xml:space="preserve"> cruzando os 7 itens de </w:t>
      </w:r>
      <w:r>
        <w:rPr>
          <w:rFonts w:ascii="Consolas" w:hAnsi="Consolas"/>
          <w:b w:val="0"/>
          <w:sz w:val="19"/>
        </w:rPr>
        <w:t>riscos</w:t>
      </w:r>
      <w:r>
        <w:rPr>
          <w:b w:val="0"/>
          <w:i w:val="0"/>
        </w:rPr>
        <w:t xml:space="preserve"> e os 15 itens de </w:t>
      </w:r>
      <w:r>
        <w:rPr>
          <w:rFonts w:ascii="Consolas" w:hAnsi="Consolas"/>
          <w:b w:val="0"/>
          <w:sz w:val="19"/>
        </w:rPr>
        <w:t>posAprovacao</w:t>
      </w:r>
      <w:r>
        <w:rPr>
          <w:b w:val="0"/>
          <w:i w:val="0"/>
        </w:rPr>
        <w:t xml:space="preserve"> contra o Regulamento inteiro, dois itens relevantes — e categoricamente diferentes dos 15 documentos listados em Pós-aprovação — não aparecem em lugar nenhum do arquivo. Item 8.2: "As propostas aprovadas pela Diretoria da Finep deverão ser contratadas em até 4 (quatro) meses, contados da decisão aprobatória. Findo esse prazo sem concretizar a contratação, a proposta, a critério da Finep, poderá ser cancelada." E item 9.9: "Na hipótese de o valor das propostas aprovadas na análise de mérito ultrapassar o limite de recursos disponíveis conforme o item 4 do Anexo 1, a contratação destas propostas dependerá de nova disponibilidade de recursos e ocorrerá segundo a ordem de recebimento das propostas."</w:t>
      </w:r>
    </w:p>
    <w:p>
      <w:r>
        <w:rPr>
          <w:b/>
          <w:i w:val="0"/>
        </w:rPr>
        <w:t>Por que é um problema:</w:t>
      </w:r>
      <w:r>
        <w:rPr>
          <w:b w:val="0"/>
          <w:i w:val="0"/>
        </w:rPr>
        <w:t xml:space="preserve"> a seção Pós-aprovação lista muito bem </w:t>
      </w:r>
      <w:r>
        <w:rPr>
          <w:b/>
          <w:i w:val="0"/>
        </w:rPr>
        <w:t>o que</w:t>
      </w:r>
      <w:r>
        <w:rPr>
          <w:b w:val="0"/>
          <w:i w:val="0"/>
        </w:rPr>
        <w:t xml:space="preserve"> apresentar (as 14 certidões/declarações do item 9.5.ii, mais o vídeo do item 9.2), mas não diz nada sobre </w:t>
      </w:r>
      <w:r>
        <w:rPr>
          <w:b/>
          <w:i w:val="0"/>
        </w:rPr>
        <w:t>o relógio</w:t>
      </w:r>
      <w:r>
        <w:rPr>
          <w:b w:val="0"/>
          <w:i w:val="0"/>
        </w:rPr>
        <w:t xml:space="preserve"> que passa a correr a partir da aprovação, nem sobre a possibilidade concreta — real neste edital de fluxo contínuo com teto de R$300M — de a contratação em si depender de sobra de orçamento. Para a Yuki, isso não é uma nuance abstrata: é exatamente o tipo de coisa que ela já viveu e que mudaria como o time se planeja assim que a notícia de aprovação chegar — em vez de comemorar por seis semanas, começar imediatamente a reunir a documentação de contratação, sabendo que o prazo já está contando. Sem esse aviso, quem usa o checklist só pela ordem em que ele apresenta as informações pode achar que "Pós-aprovação" é só uma lista de documentos para juntar com calma.</w:t>
      </w:r>
    </w:p>
    <w:p>
      <w:r>
        <w:rPr>
          <w:b/>
          <w:i w:val="0"/>
        </w:rPr>
        <w:t>Recomendação:</w:t>
      </w:r>
      <w:r>
        <w:rPr>
          <w:b w:val="0"/>
          <w:i w:val="0"/>
        </w:rPr>
        <w:t xml:space="preserve"> adicionar os itens 8.2 e 9.9 ao array </w:t>
      </w:r>
      <w:r>
        <w:rPr>
          <w:rFonts w:ascii="Consolas" w:hAnsi="Consolas"/>
          <w:b w:val="0"/>
          <w:sz w:val="19"/>
        </w:rPr>
        <w:t>riscos</w:t>
      </w:r>
      <w:r>
        <w:rPr>
          <w:b w:val="0"/>
          <w:i w:val="0"/>
        </w:rPr>
        <w:t xml:space="preserve"> (não a </w:t>
      </w:r>
      <w:r>
        <w:rPr>
          <w:rFonts w:ascii="Consolas" w:hAnsi="Consolas"/>
          <w:b w:val="0"/>
          <w:sz w:val="19"/>
        </w:rPr>
        <w:t>posAprovacao</w:t>
      </w:r>
      <w:r>
        <w:rPr>
          <w:b w:val="0"/>
          <w:i w:val="0"/>
        </w:rPr>
        <w:t>, já que não são documentos a providenciar, e sim prazos/condições a monitorar) — com âncoras "item 8.2" e "item 9.9" — ou, alternativamente, uma nota de abertura na seção Pós-aprovação alertando sobre o prazo de 4 meses. Decisão de conteúdo, sem impacto na mecânica do checklist.</w:t>
      </w:r>
    </w:p>
    <w:p>
      <w:r>
        <w:rPr>
          <w:b/>
          <w:sz w:val="24"/>
        </w:rPr>
        <w:t>Dor 2 — f3-1 descreve a documentação financeira do grupo econômico como uma alternativa, quando o Regulamento a trata como exigência adicional</w:t>
      </w:r>
      <w:r>
        <w:rPr>
          <w:b/>
          <w:color w:val="B45309"/>
        </w:rPr>
        <w:t xml:space="preserve">  🟡 média</w:t>
      </w:r>
    </w:p>
    <w:p>
      <w:r>
        <w:rPr>
          <w:b/>
          <w:i w:val="0"/>
        </w:rPr>
        <w:t>O que aconteceu:</w:t>
      </w:r>
      <w:r>
        <w:rPr>
          <w:b w:val="0"/>
          <w:i w:val="0"/>
        </w:rPr>
        <w:t xml:space="preserve"> o rótulo de </w:t>
      </w:r>
      <w:r>
        <w:rPr>
          <w:rFonts w:ascii="Consolas" w:hAnsi="Consolas"/>
          <w:b w:val="0"/>
          <w:sz w:val="19"/>
        </w:rPr>
        <w:t>f3-1</w:t>
      </w:r>
      <w:r>
        <w:rPr>
          <w:b w:val="0"/>
          <w:i w:val="0"/>
        </w:rPr>
        <w:t xml:space="preserve"> diz: "Balanço Patrimonial e Demonstrativo de Resultado do último ano, assinados por contador com nº de registro no CRC — </w:t>
      </w:r>
      <w:r>
        <w:rPr>
          <w:b/>
          <w:i w:val="0"/>
        </w:rPr>
        <w:t>ou, alternativamente</w:t>
      </w:r>
      <w:r>
        <w:rPr>
          <w:b w:val="0"/>
          <w:i w:val="0"/>
        </w:rPr>
        <w:t xml:space="preserve">, documentação financeira consolidada do grupo econômico (se aplicável) ou documentos auditados por auditoria independente / Sped-ECF". O texto real do Regulamento (item 6.10.b.2) diz algo diferente: "No caso de proponente e/ou coexecutora pertencente a um grupo econômico, </w:t>
      </w:r>
      <w:r>
        <w:rPr>
          <w:b/>
          <w:i w:val="0"/>
        </w:rPr>
        <w:t>também deverá ser enviada</w:t>
      </w:r>
      <w:r>
        <w:rPr>
          <w:b w:val="0"/>
          <w:i w:val="0"/>
        </w:rPr>
        <w:t xml:space="preserve"> a documentação financeira consolidada do grupo econômico." "Também" — não "ou, alternativamente". Só o item b.4 (auditoria independente / Sped-ECF) é, de fato, uma alternativa ao balanço assinado com CRC (b.1). A consolidação do grupo (b.2) é um documento a mais, exigido em cima do resto, quando a empresa pertence a um grupo econômico — não um substituto para ele.</w:t>
      </w:r>
    </w:p>
    <w:p>
      <w:r>
        <w:rPr>
          <w:b/>
          <w:i w:val="0"/>
        </w:rPr>
        <w:t>Por que é um problema:</w:t>
      </w:r>
      <w:r>
        <w:rPr>
          <w:b w:val="0"/>
          <w:i w:val="0"/>
        </w:rPr>
        <w:t xml:space="preserve"> a Yuki já viveu exatamente essa confusão num edital estadual anterior ("já se confundiu... 'em vez de' ou 'além de'"). Se a empresa dela (ou uma das coexecutoras do Arranjo em Rede) pertence a um grupo econômico, ler este critério como está poderia levar a marcar a caixa achando que mandar só a documentação consolidada do grupo já resolve — quando na verdade falta ainda o balanço/DRE individual assinado pelo contador. Curiosamente, o texto "🧭 Como preencher" do mesmo critério já acerta essa nuance ("Se a empresa faz parte de um grupo econômico, pergunte ao contador se a documentação consolidada </w:t>
      </w:r>
      <w:r>
        <w:rPr>
          <w:b/>
          <w:i w:val="0"/>
        </w:rPr>
        <w:t>também</w:t>
      </w:r>
      <w:r>
        <w:rPr>
          <w:b w:val="0"/>
          <w:i w:val="0"/>
        </w:rPr>
        <w:t xml:space="preserve"> é necessária") — só o rótulo principal do critério é que está desalinhado com sua própria explicação didática.</w:t>
      </w:r>
    </w:p>
    <w:p>
      <w:r>
        <w:rPr>
          <w:b/>
          <w:i w:val="0"/>
        </w:rPr>
        <w:t>Recomendação:</w:t>
      </w:r>
      <w:r>
        <w:rPr>
          <w:b w:val="0"/>
          <w:i w:val="0"/>
        </w:rPr>
        <w:t xml:space="preserve"> reescrever o trecho para separar as duas coisas — algo como "...assinados por contador com nº de registro no CRC (ou, alternativamente, documentos auditados por auditoria independente / Sped-ECF); se a empresa pertencer a um grupo econômico, enviar também a documentação financeira consolidada do grupo" — reservando "alternativamente" só para o que de fato é opcional (b.4).</w:t>
      </w:r>
    </w:p>
    <w:p>
      <w:r>
        <w:rPr>
          <w:b/>
          <w:sz w:val="24"/>
        </w:rPr>
        <w:t>Dor 3 — f1-10 (anuência formal da ICT) é marcado como eliminatório com âncora no item 2.6, que não menciona esse documento</w:t>
      </w:r>
      <w:r>
        <w:rPr>
          <w:b/>
          <w:color w:val="15803D"/>
        </w:rPr>
        <w:t xml:space="preserve">  🟢 baixa</w:t>
      </w:r>
    </w:p>
    <w:p>
      <w:r>
        <w:rPr>
          <w:b/>
          <w:i w:val="0"/>
        </w:rPr>
        <w:t>O que aconteceu:</w:t>
      </w:r>
      <w:r>
        <w:rPr>
          <w:b w:val="0"/>
          <w:i w:val="0"/>
        </w:rPr>
        <w:t xml:space="preserve"> todos os outros 15 critérios da Fase 1 têm uma âncora que, ao abrir o Regulamento ou o Anexo 1 no item citado, mostra literalmente o requisito descrito no checklist. </w:t>
      </w:r>
      <w:r>
        <w:rPr>
          <w:rFonts w:ascii="Consolas" w:hAnsi="Consolas"/>
          <w:b w:val="0"/>
          <w:sz w:val="19"/>
        </w:rPr>
        <w:t>f1-10</w:t>
      </w:r>
      <w:r>
        <w:rPr>
          <w:b w:val="0"/>
          <w:i w:val="0"/>
        </w:rPr>
        <w:t xml:space="preserve"> ("Anuência formal da ICT parceira obtida") é âncorado em "item 2.6", que na verdade só diz: "É obrigatória a participação de Instituições Científicas, Tecnológicas e de Inovação (ICTs) como parceiras nos projetos..." — nada no Regulamento ou no Anexo 1 lidos nesta sessão menciona explicitamente uma "carta de anuência formal" como documento de submissão.</w:t>
      </w:r>
    </w:p>
    <w:p>
      <w:r>
        <w:rPr>
          <w:b/>
          <w:i w:val="0"/>
        </w:rPr>
        <w:t>Por que é um problema:</w:t>
      </w:r>
      <w:r>
        <w:rPr>
          <w:b w:val="0"/>
          <w:i w:val="0"/>
        </w:rPr>
        <w:t xml:space="preserve"> não é necessariamente errado — na prática, uma ICT precisa mesmo confirmar formalmente que topa participar, e isso provavelmente está detalhado no Manual da Plataforma (não incluído nos PDFs revisados) ou é simplesmente exigido pelo formulário da própria plataforma da Finep. Mas, diferente dos outros 15 itens, este é o único cuja âncora não sustenta literalmente o texto do critério — e para alguém como a Yuki, que confia no sistema de âncoras exatamente para não precisar reabrir o PDF, essa é a única linha em que reabrir o PDF e não achar o texto citado poderia gerar dúvida sobre a confiabilidade do restante do checklist.</w:t>
      </w:r>
    </w:p>
    <w:p>
      <w:r>
        <w:rPr>
          <w:b/>
          <w:i w:val="0"/>
        </w:rPr>
        <w:t>Recomendação:</w:t>
      </w:r>
      <w:r>
        <w:rPr>
          <w:b w:val="0"/>
          <w:i w:val="0"/>
        </w:rPr>
        <w:t xml:space="preserve"> ou marcar este item como inferência prática (nota indicando que não há trecho textual explícito no Regulamento/Anexo 1, e que a exigência provém do fluxo real da plataforma), ou, se existir base textual no Manual da Plataforma da Finep, trocar a âncora para apontar para lá.</w:t>
      </w:r>
    </w:p>
    <w:p>
      <w:r>
        <w:rPr>
          <w:b/>
          <w:sz w:val="24"/>
        </w:rPr>
        <w:t>Dor 4 — f3-4 atribui ao Anexo 1 uma regra que está, na verdade, só no Regulamento</w:t>
      </w:r>
      <w:r>
        <w:rPr>
          <w:b/>
          <w:color w:val="15803D"/>
        </w:rPr>
        <w:t xml:space="preserve">  🟢 baixa</w:t>
      </w:r>
    </w:p>
    <w:p>
      <w:r>
        <w:rPr>
          <w:b/>
          <w:i w:val="0"/>
        </w:rPr>
        <w:t>O que aconteceu:</w:t>
      </w:r>
      <w:r>
        <w:rPr>
          <w:b w:val="0"/>
          <w:i w:val="0"/>
        </w:rPr>
        <w:t xml:space="preserve"> o critério </w:t>
      </w:r>
      <w:r>
        <w:rPr>
          <w:rFonts w:ascii="Consolas" w:hAnsi="Consolas"/>
          <w:b w:val="0"/>
          <w:sz w:val="19"/>
        </w:rPr>
        <w:t>f3-4</w:t>
      </w:r>
      <w:r>
        <w:rPr>
          <w:b w:val="0"/>
          <w:i w:val="0"/>
        </w:rPr>
        <w:t xml:space="preserve"> ("Se Arranjo em Rede: ao menos 5% do orçamento destinado à(s) ICT(s), registrado exclusivamente na rubrica Serviços de Consultoria") está âncorado só em "item 3.ii, Anexo 1". Mas o Anexo 1, item 3.ii, diz apenas "Pelo menos 5% do valor total do projeto deve ser destinado a ICT(s)" — sem mencionar a rubrica. A exigência de registrar isso "exclusivamente na rubrica Serviços de Consultoria" está no Regulamento, item 4.3.3, não no Anexo 1.</w:t>
      </w:r>
    </w:p>
    <w:p>
      <w:r>
        <w:rPr>
          <w:b/>
          <w:i w:val="0"/>
        </w:rPr>
        <w:t>Por que é um problema:</w:t>
      </w:r>
      <w:r>
        <w:rPr>
          <w:b w:val="0"/>
          <w:i w:val="0"/>
        </w:rPr>
        <w:t xml:space="preserve"> baixa severidade — o conteúdo do critério está correto, só a âncora está incompleta. Mas para a Yuki, que delega o preenchimento do orçamento ao contador e usa a âncora como referência rápida para ele conferir, mandar o contador direto ao item 3.ii do Anexo 1 não mostra a frase sobre a rubrica — ele precisaria saber, por conta própria, ir procurar no Regulamento.</w:t>
      </w:r>
    </w:p>
    <w:p>
      <w:r>
        <w:rPr>
          <w:b/>
          <w:i w:val="0"/>
        </w:rPr>
        <w:t>Recomendação:</w:t>
      </w:r>
      <w:r>
        <w:rPr>
          <w:b w:val="0"/>
          <w:i w:val="0"/>
        </w:rPr>
        <w:t xml:space="preserve"> somar "; 4.3.3" à âncora existente.</w:t>
      </w:r>
    </w:p>
    <w:p>
      <w:r>
        <w:rPr>
          <w:b/>
          <w:sz w:val="24"/>
        </w:rPr>
        <w:t>Dor 5 — o risco sobre alteração do Regulamento (item 11.5) simplifica a proteção mais forte que o item 11.5.1 realmente dá</w:t>
      </w:r>
      <w:r>
        <w:rPr>
          <w:b/>
          <w:color w:val="15803D"/>
        </w:rPr>
        <w:t xml:space="preserve">  🟢 baixa</w:t>
      </w:r>
    </w:p>
    <w:p>
      <w:r>
        <w:rPr>
          <w:b/>
          <w:i w:val="0"/>
        </w:rPr>
        <w:t>O que aconteceu:</w:t>
      </w:r>
      <w:r>
        <w:rPr>
          <w:b w:val="0"/>
          <w:i w:val="0"/>
        </w:rPr>
        <w:t xml:space="preserve"> o item de Riscos diz: "O Regulamento pode ser alterado a qualquer momento durante o fluxo contínuo, </w:t>
      </w:r>
      <w:r>
        <w:rPr>
          <w:b/>
          <w:i w:val="0"/>
        </w:rPr>
        <w:t>com efeito imediato para quem ainda não foi avaliado</w:t>
      </w:r>
      <w:r>
        <w:rPr>
          <w:b w:val="0"/>
          <w:i w:val="0"/>
        </w:rPr>
        <w:t xml:space="preserve">". O item 11.5.1 do Regulamento é mais protetor do que essa frase sugere: "Eventual mudança nos critérios e parâmetros utilizados na avaliação das propostas só poderá ser efetivada nos casos em que </w:t>
      </w:r>
      <w:r>
        <w:rPr>
          <w:b/>
          <w:i w:val="0"/>
        </w:rPr>
        <w:t>nenhuma das propostas recebidas tenha sido avaliada na etapa que sofreu alteração</w:t>
      </w:r>
      <w:r>
        <w:rPr>
          <w:b w:val="0"/>
          <w:i w:val="0"/>
        </w:rPr>
        <w:t>, salvo nos casos de alteração por força de lei." Ou seja: uma mudança nos critérios de avaliação de uma etapa só vale se, na data da mudança, absolutamente nenhuma proposta ainda tiver sido avaliada naquela etapa específica — não basta "eu ainda não fui avaliada", é preciso que ninguém tenha sido.</w:t>
      </w:r>
    </w:p>
    <w:p>
      <w:r>
        <w:rPr>
          <w:b/>
          <w:i w:val="0"/>
        </w:rPr>
        <w:t>Por que é um problema:</w:t>
      </w:r>
      <w:r>
        <w:rPr>
          <w:b w:val="0"/>
          <w:i w:val="0"/>
        </w:rPr>
        <w:t xml:space="preserve"> severidade baixa porque o efeito prático (mais cautela nunca prejudica quem está submetendo) é inofensivo, e o item 11.5 (efeito geral) de fato existe e é real. Mas a frase atual pode assustar mais do que deveria — dá a entender que qualquer proposta ainda não avaliada está exposta a mudanças de critério a qualquer momento, quando o item 11.5.1 na prática blinda bastante essa situação específica (mudança de critério só vale se o "placar" daquela etapa ainda estiver zerado).</w:t>
      </w:r>
    </w:p>
    <w:p>
      <w:r>
        <w:rPr>
          <w:b/>
          <w:i w:val="0"/>
        </w:rPr>
        <w:t>Recomendação:</w:t>
      </w:r>
      <w:r>
        <w:rPr>
          <w:b w:val="0"/>
          <w:i w:val="0"/>
        </w:rPr>
        <w:t xml:space="preserve"> ajustar a frase para refletir a nuance de 11.5.1: mudanças no Regulamento em geral valem imediatamente, mas mudanças nos </w:t>
      </w:r>
      <w:r>
        <w:rPr>
          <w:b w:val="0"/>
          <w:i/>
        </w:rPr>
        <w:t>critérios de avaliação</w:t>
      </w:r>
      <w:r>
        <w:rPr>
          <w:b w:val="0"/>
          <w:i w:val="0"/>
        </w:rPr>
        <w:t xml:space="preserve"> de uma etapa só valem se nenhuma proposta ainda foi avaliada nessa etapa.</w:t>
      </w:r>
    </w:p>
    <w:p>
      <w:pPr>
        <w:pStyle w:val="Heading2"/>
      </w:pPr>
      <w:r>
        <w:t>O que funcionou bem</w:t>
      </w:r>
    </w:p>
    <w:p>
      <w:pPr>
        <w:pStyle w:val="ListBullet"/>
      </w:pPr>
      <w:r>
        <w:rPr>
          <w:b/>
          <w:i w:val="0"/>
        </w:rPr>
        <w:t>Os 16 critérios da Fase 1 mapeiam, um a um, para os 7 itens substantivos da Habilitação (7.1.1–7.1.7):</w:t>
      </w:r>
      <w:r>
        <w:rPr>
          <w:b w:val="0"/>
          <w:i w:val="0"/>
        </w:rPr>
        <w:t xml:space="preserve"> conferido item por item contra o Regulamento — 7.1.1 (elegibilidade, seção 2 inteira) vira 8 critérios granulares (</w:t>
      </w:r>
      <w:r>
        <w:rPr>
          <w:rFonts w:ascii="Consolas" w:hAnsi="Consolas"/>
          <w:b w:val="0"/>
          <w:sz w:val="19"/>
        </w:rPr>
        <w:t>f1-1</w:t>
      </w:r>
      <w:r>
        <w:rPr>
          <w:b w:val="0"/>
          <w:i w:val="0"/>
        </w:rPr>
        <w:t xml:space="preserve"> a </w:t>
      </w:r>
      <w:r>
        <w:rPr>
          <w:rFonts w:ascii="Consolas" w:hAnsi="Consolas"/>
          <w:b w:val="0"/>
          <w:sz w:val="19"/>
        </w:rPr>
        <w:t>f1-7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sz w:val="19"/>
        </w:rPr>
        <w:t>f1-10</w:t>
      </w:r>
      <w:r>
        <w:rPr>
          <w:b w:val="0"/>
          <w:i w:val="0"/>
        </w:rPr>
        <w:t xml:space="preserve">), 7.1.2 vira </w:t>
      </w:r>
      <w:r>
        <w:rPr>
          <w:rFonts w:ascii="Consolas" w:hAnsi="Consolas"/>
          <w:b w:val="0"/>
          <w:sz w:val="19"/>
        </w:rPr>
        <w:t>f1-8</w:t>
      </w:r>
      <w:r>
        <w:rPr>
          <w:b w:val="0"/>
          <w:i w:val="0"/>
        </w:rPr>
        <w:t xml:space="preserve">, 7.1.3 vira </w:t>
      </w:r>
      <w:r>
        <w:rPr>
          <w:rFonts w:ascii="Consolas" w:hAnsi="Consolas"/>
          <w:b w:val="0"/>
          <w:sz w:val="19"/>
        </w:rPr>
        <w:t>f1-13</w:t>
      </w:r>
      <w:r>
        <w:rPr>
          <w:b w:val="0"/>
          <w:i w:val="0"/>
        </w:rPr>
        <w:t xml:space="preserve">, 7.1.4 vira </w:t>
      </w:r>
      <w:r>
        <w:rPr>
          <w:rFonts w:ascii="Consolas" w:hAnsi="Consolas"/>
          <w:b w:val="0"/>
          <w:sz w:val="19"/>
        </w:rPr>
        <w:t>f1-14</w:t>
      </w:r>
      <w:r>
        <w:rPr>
          <w:b w:val="0"/>
          <w:i w:val="0"/>
        </w:rPr>
        <w:t xml:space="preserve">, 7.1.5 vira </w:t>
      </w:r>
      <w:r>
        <w:rPr>
          <w:rFonts w:ascii="Consolas" w:hAnsi="Consolas"/>
          <w:b w:val="0"/>
          <w:sz w:val="19"/>
        </w:rPr>
        <w:t>f1-15</w:t>
      </w:r>
      <w:r>
        <w:rPr>
          <w:b w:val="0"/>
          <w:i w:val="0"/>
        </w:rPr>
        <w:t xml:space="preserve">, 7.1.6 vira </w:t>
      </w:r>
      <w:r>
        <w:rPr>
          <w:rFonts w:ascii="Consolas" w:hAnsi="Consolas"/>
          <w:b w:val="0"/>
          <w:sz w:val="19"/>
        </w:rPr>
        <w:t>f1-9</w:t>
      </w:r>
      <w:r>
        <w:rPr>
          <w:b w:val="0"/>
          <w:i w:val="0"/>
        </w:rPr>
        <w:t xml:space="preserve"> (arranjo) + </w:t>
      </w:r>
      <w:r>
        <w:rPr>
          <w:rFonts w:ascii="Consolas" w:hAnsi="Consolas"/>
          <w:b w:val="0"/>
          <w:sz w:val="19"/>
        </w:rPr>
        <w:t>f1-16</w:t>
      </w:r>
      <w:r>
        <w:rPr>
          <w:b w:val="0"/>
          <w:i w:val="0"/>
        </w:rPr>
        <w:t xml:space="preserve"> (TRL), 7.1.7 vira </w:t>
      </w:r>
      <w:r>
        <w:rPr>
          <w:rFonts w:ascii="Consolas" w:hAnsi="Consolas"/>
          <w:b w:val="0"/>
          <w:sz w:val="19"/>
        </w:rPr>
        <w:t>f1-11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sz w:val="19"/>
        </w:rPr>
        <w:t>f1-12</w:t>
      </w:r>
      <w:r>
        <w:rPr>
          <w:b w:val="0"/>
          <w:i w:val="0"/>
        </w:rPr>
        <w:t>. Nada do Regulamento ficou de fora, nada foi inventado.</w:t>
      </w:r>
    </w:p>
    <w:p>
      <w:pPr>
        <w:pStyle w:val="ListBullet"/>
      </w:pPr>
      <w:r>
        <w:rPr>
          <w:b/>
          <w:i w:val="0"/>
        </w:rPr>
        <w:t>Os 5 sub-itens do Arranjo em Rede (</w:t>
      </w:r>
      <w:r>
        <w:rPr>
          <w:rFonts w:ascii="Consolas" w:hAnsi="Consolas"/>
          <w:b/>
          <w:sz w:val="19"/>
        </w:rPr>
        <w:t>f1-9-r1</w:t>
      </w:r>
      <w:r>
        <w:rPr>
          <w:b/>
          <w:i w:val="0"/>
        </w:rPr>
        <w:t xml:space="preserve"> a </w:t>
      </w:r>
      <w:r>
        <w:rPr>
          <w:rFonts w:ascii="Consolas" w:hAnsi="Consolas"/>
          <w:b/>
          <w:sz w:val="19"/>
        </w:rPr>
        <w:t>f1-9-r5</w:t>
      </w:r>
      <w:r>
        <w:rPr>
          <w:b/>
          <w:i w:val="0"/>
        </w:rPr>
        <w:t>) batem exatamente com o item 3.ii do Anexo 1, cláusula por cláusula</w:t>
      </w:r>
      <w:r>
        <w:rPr>
          <w:b w:val="0"/>
          <w:i w:val="0"/>
        </w:rPr>
        <w:t xml:space="preserve"> — inclusive a nota sazonal jan-mar sobre receita operacional bruta, corretamente vinculada só ao sub-item de faturamento (não aos outros quatro, que não dependem de exercício fiscal). Para a Yuki, que está de fato montando um Arranjo em Rede, essa é a parte mais crítica de toda a Fase 1 — e ela conferiu cada bullet sem achar nenhuma discrepância.</w:t>
      </w:r>
    </w:p>
    <w:p>
      <w:pPr>
        <w:pStyle w:val="ListBullet"/>
      </w:pPr>
      <w:r>
        <w:rPr>
          <w:b/>
          <w:i w:val="0"/>
        </w:rPr>
        <w:t xml:space="preserve">Os dois itens </w:t>
      </w:r>
      <w:r>
        <w:rPr>
          <w:rFonts w:ascii="Consolas" w:hAnsi="Consolas"/>
          <w:b/>
          <w:sz w:val="19"/>
        </w:rPr>
        <w:t>[?]</w:t>
      </w:r>
      <w:r>
        <w:rPr>
          <w:b/>
          <w:i w:val="0"/>
        </w:rPr>
        <w:t xml:space="preserve"> da Fase 2 (</w:t>
      </w:r>
      <w:r>
        <w:rPr>
          <w:rFonts w:ascii="Consolas" w:hAnsi="Consolas"/>
          <w:b/>
          <w:sz w:val="19"/>
        </w:rPr>
        <w:t>f2-2</w:t>
      </w:r>
      <w:r>
        <w:rPr>
          <w:b/>
          <w:i w:val="0"/>
        </w:rPr>
        <w:t xml:space="preserve">, </w:t>
      </w:r>
      <w:r>
        <w:rPr>
          <w:rFonts w:ascii="Consolas" w:hAnsi="Consolas"/>
          <w:b/>
          <w:sz w:val="19"/>
        </w:rPr>
        <w:t>f2-3</w:t>
      </w:r>
      <w:r>
        <w:rPr>
          <w:b/>
          <w:i w:val="0"/>
        </w:rPr>
        <w:t>) apontam para uma ambiguidade real, não inventada:</w:t>
      </w:r>
      <w:r>
        <w:rPr>
          <w:b w:val="0"/>
          <w:i w:val="0"/>
        </w:rPr>
        <w:t xml:space="preserve"> confirmado contra o texto — o item 7.1.6 (Habilitação) cita os itens 1 e 3 do Anexo 1 (TRL e arranjo) como parte da "aderência" checada na Fase 1; os itens 7.2.4/7.2.5 (Análise de Mérito) citam os itens 3 e 9 do Anexo 1 (arranjo de novo, e "Adequação dos TRLs estipulados no item 1") como critério de reprovação na Fase 2. A mesma dupla checagem (TRL e arranjo) aparece nas duas etapas, com o próprio Regulamento não esclarecendo se é reafirmação ou reavaliação mais rigorosa — os badges </w:t>
      </w:r>
      <w:r>
        <w:rPr>
          <w:rFonts w:ascii="Consolas" w:hAnsi="Consolas"/>
          <w:b w:val="0"/>
          <w:sz w:val="19"/>
        </w:rPr>
        <w:t>[?]</w:t>
      </w:r>
      <w:r>
        <w:rPr>
          <w:b w:val="0"/>
          <w:i w:val="0"/>
        </w:rPr>
        <w:t xml:space="preserve"> estão corretamente colocados.</w:t>
      </w:r>
    </w:p>
    <w:p>
      <w:pPr>
        <w:pStyle w:val="ListBullet"/>
      </w:pPr>
      <w:r>
        <w:rPr>
          <w:b/>
          <w:i w:val="0"/>
        </w:rPr>
        <w:t>A ambiguidade das sub-linhas 1.1/1.2/1.3 é um achado genuíno:</w:t>
      </w:r>
      <w:r>
        <w:rPr>
          <w:b w:val="0"/>
          <w:i w:val="0"/>
        </w:rPr>
        <w:t xml:space="preserve"> o Anexo 1 de fato define "Linha Temática 1" com três subdivisões nomeadas (1.1, 1.2, 1.3), cada uma com finalidades prioritárias próprias, mas o item 4 fala em teto "por Grupo de Concorrência (linha temática)" sem esclarecer se cada sub-linha conta como grupo separado — a nota de risco descreve essa lacuna com precisão e sem exagero.</w:t>
      </w:r>
    </w:p>
    <w:p>
      <w:pPr>
        <w:pStyle w:val="ListBullet"/>
      </w:pPr>
      <w:r>
        <w:rPr>
          <w:b/>
          <w:i w:val="0"/>
        </w:rPr>
        <w:t>Todos os valores numéricos batem, exatos, com o Anexo 1:</w:t>
      </w:r>
      <w:r>
        <w:rPr>
          <w:b w:val="0"/>
          <w:i w:val="0"/>
        </w:rPr>
        <w:t xml:space="preserve"> R$5M–R$25M (Simples) / R$5M–R$40M (Rede) no item 5; tabela de contrapartida 5%–50% por porte × arranjo no item 6, incluindo a lacuna real de percentual não-definido para Micro/Pequena Empresa em Arranjo em Rede; R$16M de faturamento mínimo no item 3.ii; R$300M/R$90M/R$100M no item 4; 36 meses no item 7; faixa de TRL 3–8 (com a regra "quem mira TRL 8 começa entre TRL 3 e 6") no item 1.</w:t>
      </w:r>
    </w:p>
    <w:p>
      <w:pPr>
        <w:pStyle w:val="ListBullet"/>
      </w:pPr>
      <w:r>
        <w:rPr>
          <w:b/>
          <w:i w:val="0"/>
        </w:rPr>
        <w:t xml:space="preserve">O gate de "pronto para envio" da Fase 4 corrige exatamente o problema que a versão anterior deste tipo de checklist (Saúde, </w:t>
      </w:r>
      <w:r>
        <w:rPr>
          <w:rFonts w:ascii="Consolas" w:hAnsi="Consolas"/>
          <w:b/>
          <w:sz w:val="19"/>
        </w:rPr>
        <w:t>docs/persona/timeline-submissao-finep.html</w:t>
      </w:r>
      <w:r>
        <w:rPr>
          <w:b/>
          <w:i w:val="0"/>
        </w:rPr>
        <w:t>, Dor 4) tinha:</w:t>
      </w:r>
      <w:r>
        <w:rPr>
          <w:b w:val="0"/>
          <w:i w:val="0"/>
        </w:rPr>
        <w:t xml:space="preserve"> lá, o botão só checava a Fase 1 e liberava mesmo com os 5 itens da própria Fase 4 desmarcados. Aqui, </w:t>
      </w:r>
      <w:r>
        <w:rPr>
          <w:rFonts w:ascii="Consolas" w:hAnsi="Consolas"/>
          <w:b w:val="0"/>
          <w:sz w:val="19"/>
        </w:rPr>
        <w:t>updateGateUI()</w:t>
      </w:r>
      <w:r>
        <w:rPr>
          <w:b w:val="0"/>
          <w:i w:val="0"/>
        </w:rPr>
        <w:t xml:space="preserve"> exige </w:t>
      </w:r>
      <w:r>
        <w:rPr>
          <w:rFonts w:ascii="Consolas" w:hAnsi="Consolas"/>
          <w:b w:val="0"/>
          <w:sz w:val="19"/>
        </w:rPr>
        <w:t>complete1 &amp;&amp; complete4</w:t>
      </w:r>
      <w:r>
        <w:rPr>
          <w:b w:val="0"/>
          <w:i w:val="0"/>
        </w:rPr>
        <w:t xml:space="preserve"> — cadastro prévio, plataforma, LGPD, limite de propostas e data planejada de envio todos precisam estar marcados, e a mensagem de bloqueio (</w:t>
      </w:r>
      <w:r>
        <w:rPr>
          <w:rFonts w:ascii="Consolas" w:hAnsi="Consolas"/>
          <w:b w:val="0"/>
          <w:sz w:val="19"/>
        </w:rPr>
        <w:t>gate-note</w:t>
      </w:r>
      <w:r>
        <w:rPr>
          <w:b w:val="0"/>
          <w:i w:val="0"/>
        </w:rPr>
        <w:t>) diz exatamente quantos itens faltam em cada fase. Uma lição da rodada anterior foi de fato incorporada.</w:t>
      </w:r>
    </w:p>
    <w:p>
      <w:pPr>
        <w:pStyle w:val="Heading2"/>
      </w:pPr>
      <w:r>
        <w:t>Para quem resolver</w:t>
      </w:r>
    </w:p>
    <w:p>
      <w:r>
        <w:rPr>
          <w:color w:val="3A5FD9"/>
          <w:u w:val="single"/>
        </w:rPr>
        <w:t>Dor 1</w:t>
      </w:r>
      <w:r>
        <w:rPr>
          <w:b w:val="0"/>
          <w:i w:val="0"/>
        </w:rPr>
        <w:t xml:space="preserve"> (ausência dos itens 8.2 e 9.9 sobre prazo de contratação e disponibilidade orçamentária pós-mérito) é uma lacuna de conteúdo real — ajuste direto no array </w:t>
      </w:r>
      <w:r>
        <w:rPr>
          <w:rFonts w:ascii="Consolas" w:hAnsi="Consolas"/>
          <w:b w:val="0"/>
          <w:sz w:val="19"/>
        </w:rPr>
        <w:t>riscos</w:t>
      </w:r>
      <w:r>
        <w:rPr>
          <w:b w:val="0"/>
          <w:i w:val="0"/>
        </w:rPr>
        <w:t xml:space="preserve"> de </w:t>
      </w:r>
      <w:r>
        <w:rPr>
          <w:rFonts w:ascii="Consolas" w:hAnsi="Consolas"/>
          <w:b w:val="0"/>
          <w:sz w:val="19"/>
        </w:rPr>
        <w:t>docs/submissions/timeline-submission-finep-digital.html</w:t>
      </w:r>
      <w:r>
        <w:rPr>
          <w:b w:val="0"/>
          <w:i w:val="0"/>
        </w:rPr>
        <w:t>.</w:t>
      </w:r>
    </w:p>
    <w:p>
      <w:r>
        <w:rPr>
          <w:color w:val="3A5FD9"/>
          <w:u w:val="single"/>
        </w:rPr>
        <w:t>Dor 2</w:t>
      </w:r>
      <w:r>
        <w:rPr>
          <w:b w:val="0"/>
          <w:i w:val="0"/>
        </w:rPr>
        <w:t xml:space="preserve"> (rótulo de </w:t>
      </w:r>
      <w:r>
        <w:rPr>
          <w:rFonts w:ascii="Consolas" w:hAnsi="Consolas"/>
          <w:b w:val="0"/>
          <w:sz w:val="19"/>
        </w:rPr>
        <w:t>f3-1</w:t>
      </w:r>
      <w:r>
        <w:rPr>
          <w:b w:val="0"/>
          <w:i w:val="0"/>
        </w:rPr>
        <w:t xml:space="preserve"> trata "também" como "ou, alternativamente") é uma correção pontual de texto no array </w:t>
      </w:r>
      <w:r>
        <w:rPr>
          <w:rFonts w:ascii="Consolas" w:hAnsi="Consolas"/>
          <w:b w:val="0"/>
          <w:sz w:val="19"/>
        </w:rPr>
        <w:t>fases[2].criterios</w:t>
      </w:r>
      <w:r>
        <w:rPr>
          <w:b w:val="0"/>
          <w:i w:val="0"/>
        </w:rPr>
        <w:t>, sem impacto na mecânica.</w:t>
      </w:r>
    </w:p>
    <w:p>
      <w:r>
        <w:rPr>
          <w:color w:val="3A5FD9"/>
          <w:u w:val="single"/>
        </w:rPr>
        <w:t>Dor 3</w:t>
      </w:r>
      <w:r>
        <w:rPr>
          <w:b w:val="0"/>
          <w:i w:val="0"/>
        </w:rPr>
        <w:t xml:space="preserve"> (âncora de </w:t>
      </w:r>
      <w:r>
        <w:rPr>
          <w:rFonts w:ascii="Consolas" w:hAnsi="Consolas"/>
          <w:b w:val="0"/>
          <w:sz w:val="19"/>
        </w:rPr>
        <w:t>f1-10</w:t>
      </w:r>
      <w:r>
        <w:rPr>
          <w:b w:val="0"/>
          <w:i w:val="0"/>
        </w:rPr>
        <w:t xml:space="preserve"> não sustenta literalmente o rótulo) e </w:t>
      </w:r>
      <w:r>
        <w:rPr>
          <w:color w:val="3A5FD9"/>
          <w:u w:val="single"/>
        </w:rPr>
        <w:t>Dor 4</w:t>
      </w:r>
      <w:r>
        <w:rPr>
          <w:b w:val="0"/>
          <w:i w:val="0"/>
        </w:rPr>
        <w:t xml:space="preserve"> (âncora de </w:t>
      </w:r>
      <w:r>
        <w:rPr>
          <w:rFonts w:ascii="Consolas" w:hAnsi="Consolas"/>
          <w:b w:val="0"/>
          <w:sz w:val="19"/>
        </w:rPr>
        <w:t>f3-4</w:t>
      </w:r>
      <w:r>
        <w:rPr>
          <w:b w:val="0"/>
          <w:i w:val="0"/>
        </w:rPr>
        <w:t xml:space="preserve"> mistura Anexo 1 com Regulamento) são ajustes de precisão de âncora, baixa prioridade.</w:t>
      </w:r>
    </w:p>
    <w:p>
      <w:r>
        <w:rPr>
          <w:color w:val="3A5FD9"/>
          <w:u w:val="single"/>
        </w:rPr>
        <w:t>Dor 5</w:t>
      </w:r>
      <w:r>
        <w:rPr>
          <w:b w:val="0"/>
          <w:i w:val="0"/>
        </w:rPr>
        <w:t xml:space="preserve"> (risco sobre 11.5 simplifica a proteção de 11.5.1) é um ajuste de nuance no texto do risco, baixa prioridade.</w:t>
      </w:r>
    </w:p>
    <w:p/>
    <w:p>
      <w:r>
        <w:rPr>
          <w:i/>
          <w:color w:val="5A6070"/>
          <w:sz w:val="17"/>
        </w:rPr>
        <w:t>Este documento não corrige nada — é insumo para quem mantém docs/submissions/timeline-submission-finep-digital.html agir sobre o parecer, a critério de quem revisa. Testado por leitura de código e cruzamento linha a linha contra o Regulamento (14 páginas) e o Anexo 1 (7 páginas) reais, não ao vivo em browser (ver nota no topo).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D2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D2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D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