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Timeline de Submissão — FINEP "Mais Inovação Brasil - Rodada 2 - Tecnologias Digitais"</w:t>
      </w:r>
    </w:p>
    <w:p>
      <w:r>
        <w:rPr>
          <w:color w:val="5A6070"/>
          <w:sz w:val="21"/>
        </w:rPr>
        <w:t xml:space="preserve">Seleção Pública MCTI/Finep/FNDCT, Subvenção Econômica à Inovação em Fluxo Contínuo (Regulamento, item 1.1–1.2). Checklist operacional para uso interno — </w:t>
      </w:r>
      <w:r>
        <w:rPr>
          <w:b/>
          <w:color w:val="5A6070"/>
          <w:sz w:val="21"/>
        </w:rPr>
        <w:t>não é o formulário oficial</w:t>
      </w:r>
      <w:r>
        <w:rPr>
          <w:color w:val="5A6070"/>
          <w:sz w:val="21"/>
        </w:rPr>
        <w:t xml:space="preserve"> e não substitui a leitura do Regulamento e Anexo 1. Todo item aqui tem a âncora do item do documento-fonte; onde o edital não é claro, o item vem marcado [?].</w:t>
      </w:r>
    </w:p>
    <w:p>
      <w:pPr>
        <w:pStyle w:val="Heading1"/>
      </w:pPr>
      <w:r>
        <w:t>Identificação do proponente</w:t>
      </w:r>
    </w:p>
    <w:p>
      <w:pPr>
        <w:pStyle w:val="IntenseQuote"/>
      </w:pPr>
      <w:r>
        <w:t>Preencha só o que já se sabe — nada aqui é inventado pela ferramenta.</w:t>
      </w:r>
    </w:p>
    <w:p>
      <w:r>
        <w:t>Empresa proponente (razão social): ________________________________________</w:t>
      </w:r>
    </w:p>
    <w:p>
      <w:r>
        <w:t>CNPJ: ________________________________________</w:t>
      </w:r>
    </w:p>
    <w:p>
      <w:r>
        <w:t>ICT parceira: ________________________________________</w:t>
      </w:r>
    </w:p>
    <w:p>
      <w:r>
        <w:t>Responsável pela captação: ________________________________________</w:t>
      </w:r>
    </w:p>
    <w:p>
      <w:pPr>
        <w:pStyle w:val="Heading1"/>
      </w:pPr>
      <w:r>
        <w:t>⚠ Riscos e considerações do Regulamento</w:t>
      </w:r>
    </w:p>
    <w:p>
      <w:pPr>
        <w:pStyle w:val="ListBullet"/>
      </w:pPr>
      <w:r>
        <w:rPr>
          <w:sz w:val="21"/>
        </w:rPr>
        <w:t xml:space="preserve">Reenviar uma proposta nova enquanto a anterior ainda está em análise </w:t>
      </w:r>
      <w:r>
        <w:rPr>
          <w:b/>
          <w:sz w:val="21"/>
        </w:rPr>
        <w:t>inabilita automaticamente a nova</w:t>
      </w:r>
      <w:r>
        <w:rPr>
          <w:sz w:val="21"/>
        </w:rPr>
        <w:t xml:space="preserve"> submissão — só reenviar se a anterior já foi indeferida/inabilitada.</w:t>
      </w:r>
      <w:r>
        <w:rPr>
          <w:i/>
          <w:color w:val="5A6070"/>
          <w:sz w:val="18"/>
        </w:rPr>
        <w:t xml:space="preserve">  (item 6.2.1)</w:t>
      </w:r>
    </w:p>
    <w:p>
      <w:pPr>
        <w:pStyle w:val="ListBullet"/>
      </w:pPr>
      <w:r>
        <w:rPr>
          <w:sz w:val="21"/>
        </w:rPr>
        <w:t xml:space="preserve">Limite de </w:t>
      </w:r>
      <w:r>
        <w:rPr>
          <w:b/>
          <w:sz w:val="21"/>
        </w:rPr>
        <w:t>2 propostas por empresa</w:t>
      </w:r>
      <w:r>
        <w:rPr>
          <w:sz w:val="21"/>
        </w:rPr>
        <w:t xml:space="preserve">, sendo no máximo </w:t>
      </w:r>
      <w:r>
        <w:rPr>
          <w:b/>
          <w:sz w:val="21"/>
        </w:rPr>
        <w:t>1 proposta por grupo de concorrência</w:t>
      </w:r>
      <w:r>
        <w:rPr>
          <w:sz w:val="21"/>
        </w:rPr>
        <w:t>.</w:t>
      </w:r>
      <w:r>
        <w:rPr>
          <w:i/>
          <w:color w:val="5A6070"/>
          <w:sz w:val="18"/>
        </w:rPr>
        <w:t xml:space="preserve">  (item 6.2)</w:t>
      </w:r>
    </w:p>
    <w:p>
      <w:pPr>
        <w:pStyle w:val="ListBullet"/>
      </w:pPr>
      <w:r>
        <w:rPr>
          <w:sz w:val="21"/>
        </w:rPr>
        <w:t>O prazo pode ser prorrogado pela Finep — não use essa possibilidade para relaxar a meta interna do time.</w:t>
      </w:r>
      <w:r>
        <w:rPr>
          <w:i/>
          <w:color w:val="5A6070"/>
          <w:sz w:val="18"/>
        </w:rPr>
        <w:t xml:space="preserve">  (item 6.4)</w:t>
      </w:r>
    </w:p>
    <w:p>
      <w:pPr>
        <w:pStyle w:val="ListBullet"/>
      </w:pPr>
      <w:r>
        <w:rPr>
          <w:sz w:val="21"/>
        </w:rPr>
        <w:t xml:space="preserve">O Regulamento em geral pode ser alterado a qualquer momento durante o fluxo contínuo, com efeito imediato — revise o Regulamento vigente perto do envio. Já uma mudança nos </w:t>
      </w:r>
      <w:r>
        <w:rPr>
          <w:b/>
          <w:sz w:val="21"/>
        </w:rPr>
        <w:t>critérios de avaliação</w:t>
      </w:r>
      <w:r>
        <w:rPr>
          <w:sz w:val="21"/>
        </w:rPr>
        <w:t xml:space="preserve"> de uma etapa específica só vale se, na data da mudança, nenhuma proposta ainda tiver sido avaliada nessa etapa (salvo alteração por força de lei).</w:t>
      </w:r>
      <w:r>
        <w:rPr>
          <w:i/>
          <w:color w:val="5A6070"/>
          <w:sz w:val="18"/>
        </w:rPr>
        <w:t xml:space="preserve">  (item 11.5, 11.5.1)</w:t>
      </w:r>
    </w:p>
    <w:p>
      <w:pPr>
        <w:pStyle w:val="ListBullet"/>
      </w:pPr>
      <w:r>
        <w:rPr>
          <w:sz w:val="21"/>
        </w:rPr>
        <w:t xml:space="preserve">Orçamento total de </w:t>
      </w:r>
      <w:r>
        <w:rPr>
          <w:b/>
          <w:sz w:val="21"/>
        </w:rPr>
        <w:t>R$300 milhões</w:t>
      </w:r>
      <w:r>
        <w:rPr>
          <w:sz w:val="21"/>
        </w:rPr>
        <w:t xml:space="preserve">, com reserva mínima de </w:t>
      </w:r>
      <w:r>
        <w:rPr>
          <w:b/>
          <w:sz w:val="21"/>
        </w:rPr>
        <w:t>R$90 milhões</w:t>
      </w:r>
      <w:r>
        <w:rPr>
          <w:sz w:val="21"/>
        </w:rPr>
        <w:t xml:space="preserve"> para projetos com execução principal em Norte/Nordeste/Centro-Oeste, e </w:t>
      </w:r>
      <w:r>
        <w:rPr>
          <w:b/>
          <w:sz w:val="21"/>
        </w:rPr>
        <w:t>teto de R$100 milhões por grupo de concorrência</w:t>
      </w:r>
      <w:r>
        <w:rPr>
          <w:sz w:val="21"/>
        </w:rPr>
        <w:t xml:space="preserve"> (linha temática) — confira o consumo já realizado na linha escolhida antes de fixar a meta de envio.</w:t>
      </w:r>
      <w:r>
        <w:rPr>
          <w:i/>
          <w:color w:val="5A6070"/>
          <w:sz w:val="18"/>
        </w:rPr>
        <w:t xml:space="preserve">  (item 4, Anexo 1)</w:t>
      </w:r>
    </w:p>
    <w:p>
      <w:pPr>
        <w:pStyle w:val="ListBullet"/>
      </w:pPr>
      <w:r>
        <w:rPr>
          <w:b/>
          <w:color w:val="B45309"/>
        </w:rPr>
        <w:t xml:space="preserve">[?] </w:t>
      </w:r>
      <w:r>
        <w:rPr>
          <w:b/>
          <w:sz w:val="21"/>
        </w:rPr>
        <w:t>Ambiguidade do próprio Regulamento</w:t>
      </w:r>
      <w:r>
        <w:rPr>
          <w:sz w:val="21"/>
        </w:rPr>
        <w:t>: não fica claro se as sub-linhas 1.1/1.2/1.3 da Linha Temática 1 contam como grupos de concorrência separados (cada uma com seu próprio limite de 1 proposta e teto de R$100M) ou se são todas tratadas como uma única Linha Temática 1 para esse efeito — confirme com o canal oficial antes de submeter mais de uma proposta dentro da Linha 1.</w:t>
      </w:r>
      <w:r>
        <w:rPr>
          <w:i/>
          <w:color w:val="5A6070"/>
          <w:sz w:val="18"/>
        </w:rPr>
        <w:t xml:space="preserve">  (item 2 e item 4, Anexo 1)</w:t>
      </w:r>
    </w:p>
    <w:p>
      <w:pPr>
        <w:pStyle w:val="ListBullet"/>
      </w:pPr>
      <w:r>
        <w:rPr>
          <w:sz w:val="21"/>
        </w:rPr>
        <w:t xml:space="preserve">Se a Fase 1 (Habilitação) for indeferida após o envio, há direito a recurso administrativo em até </w:t>
      </w:r>
      <w:r>
        <w:rPr>
          <w:b/>
          <w:sz w:val="21"/>
        </w:rPr>
        <w:t>10 dias corridos</w:t>
      </w:r>
      <w:r>
        <w:rPr>
          <w:sz w:val="21"/>
        </w:rPr>
        <w:t xml:space="preserve"> da comunicação — mas o recurso não pode trazer informação nova que modifique a proposta original.</w:t>
      </w:r>
      <w:r>
        <w:rPr>
          <w:i/>
          <w:color w:val="5A6070"/>
          <w:sz w:val="18"/>
        </w:rPr>
        <w:t xml:space="preserve">  (item 7.3.3, 7.3.6)</w:t>
      </w:r>
    </w:p>
    <w:p>
      <w:pPr>
        <w:pStyle w:val="ListBullet"/>
      </w:pPr>
      <w:r>
        <w:rPr>
          <w:sz w:val="21"/>
        </w:rPr>
        <w:t xml:space="preserve">"Aprovado" não é "dinheiro garantido": depois da aprovação pela Diretoria, a empresa tem </w:t>
      </w:r>
      <w:r>
        <w:rPr>
          <w:b/>
          <w:sz w:val="21"/>
        </w:rPr>
        <w:t>até 4 meses para assinar o Termo de Outorga</w:t>
      </w:r>
      <w:r>
        <w:rPr>
          <w:sz w:val="21"/>
        </w:rPr>
        <w:t xml:space="preserve"> — se esse prazo passar sem a contratação se concretizar, a Finep pode cancelar a proposta a seu critério.</w:t>
      </w:r>
      <w:r>
        <w:rPr>
          <w:i/>
          <w:color w:val="5A6070"/>
          <w:sz w:val="18"/>
        </w:rPr>
        <w:t xml:space="preserve">  (item 8.2)</w:t>
      </w:r>
    </w:p>
    <w:p>
      <w:pPr>
        <w:pStyle w:val="ListBullet"/>
      </w:pPr>
      <w:r>
        <w:rPr>
          <w:sz w:val="21"/>
        </w:rPr>
        <w:t xml:space="preserve">Mesmo propostas aprovadas no mérito podem ficar </w:t>
      </w:r>
      <w:r>
        <w:rPr>
          <w:b/>
          <w:sz w:val="21"/>
        </w:rPr>
        <w:t>esperando disponibilidade orçamentária</w:t>
      </w:r>
      <w:r>
        <w:rPr>
          <w:sz w:val="21"/>
        </w:rPr>
        <w:t xml:space="preserve"> se o valor total das aprovadas ultrapassar o limite de recursos do grupo de concorrência — a contratação segue a ordem de recebimento das propostas, não a ordem de aprovação.</w:t>
      </w:r>
      <w:r>
        <w:rPr>
          <w:i/>
          <w:color w:val="5A6070"/>
          <w:sz w:val="18"/>
        </w:rPr>
        <w:t xml:space="preserve">  (item 9.9)</w:t>
      </w:r>
    </w:p>
    <w:p>
      <w:pPr>
        <w:pStyle w:val="Heading1"/>
      </w:pPr>
      <w:r>
        <w:t>Fase 1 — Elegibilidade da Empresa Proponente e Habilitação</w:t>
      </w:r>
    </w:p>
    <w:p>
      <w:r>
        <w:rPr>
          <w:b/>
          <w:color w:val="3A5FD9"/>
          <w:sz w:val="19"/>
        </w:rPr>
        <w:t>GATE — bloqueia o botão de envio da Fase 4 até 100% resolvida</w:t>
      </w:r>
    </w:p>
    <w:p>
      <w:r>
        <w:rPr>
          <w:color w:val="5A6070"/>
          <w:sz w:val="19"/>
        </w:rPr>
        <w:t>🗓 Comece hoje, em paralelo às Fases 2 e 3 — itens que dependem de terceiros (anuência da ICT, balanço assinado por contador) devem ser disparados no dia 1, não esperar esta fase "fechar".</w:t>
      </w:r>
    </w:p>
    <w:p>
      <w:r>
        <w:rPr>
          <w:color w:val="5A6070"/>
          <w:sz w:val="19"/>
        </w:rPr>
        <w:t>Critérios eliminatórios da Etapa 1 — Habilitação (item 7.1, subitens 7.1.1 a 7.1.8 do Regulamento). Se qualquer um destes falhar, a proposta é desclassificada nesta etapa, independentemente da qualidade técnica — não vale a pena investir nas fases seguintes sem isso resolvido.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Empresa é pessoa jurídica com fins lucrativos (não associação, fundação, cooperativa, MEI ou empresário individual)</w:t>
      </w:r>
      <w:r>
        <w:rPr>
          <w:i/>
          <w:color w:val="5A6070"/>
          <w:sz w:val="18"/>
        </w:rPr>
        <w:t xml:space="preserve">  (item 2.1, 2.2; 7.1.1)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A Finep só aceita empresas no sentido de negócio com fins lucrativos. ONGs, associações, fundações, cooperativas e MEI ficam de fora, mesmo fazendo pesquisa e inovação de verdade.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Confira o tipo societário no Contrato Social ou Estatuto (LTDA, S.A. etc.). Se for MEI, associação, fundação ou cooperativa, este edital não é para vocês como proponente.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Atividade do projeto não consta na lista de exclusão da Finep ↗ (http://www.finep.gov.br/apoio-e-financiamento-externa/programas-e-linhas/setores-e-atividades-excluidos-e-de-apoio-condicionado)</w:t>
      </w:r>
      <w:r>
        <w:rPr>
          <w:i/>
          <w:color w:val="5A6070"/>
          <w:sz w:val="18"/>
        </w:rPr>
        <w:t xml:space="preserve">  (item 2.3; 7.1.1)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Existem atividades e setores que a Finep nunca financia, listados numa página própria do site. Se o projeto cair nessa lista, não adianta insistir.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Abra o link da lista de exclusão, use Ctrl+F para buscar palavras-chave do seu setor/produto, e confirme que nada bate.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Registro na Junta Comercial ou RCPJ realizado até 31/12 do ano anterior ao da submissão (data móvel — não fixa: se a proposta for enviada em 2027 por prorrogação, o corte vira 31/12/2026)</w:t>
      </w:r>
      <w:r>
        <w:rPr>
          <w:i/>
          <w:color w:val="5A6070"/>
          <w:sz w:val="18"/>
        </w:rPr>
        <w:t xml:space="preserve">  (item 2.4.a; 7.1.1)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A empresa precisa já existir oficialmente desde o ano anterior ao envio da proposta — empresa aberta no mesmo ano não pode participar.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Veja a data de abertura no Cartão CNPJ ou no Contrato Social registrado. Se abriu depois de 31/12 do ano anterior ao envio, aguarde a próxima rodada.</w:t>
      </w:r>
    </w:p>
    <w:p>
      <w:pPr>
        <w:ind w:left="510"/>
      </w:pPr>
      <w:r>
        <w:rPr>
          <w:sz w:val="19"/>
        </w:rPr>
        <w:t>Data do registro: ______________________________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Atividade operacional comprovada nos últimos 12 meses (despesas ou receitas, via Demonstrações Financeiras)</w:t>
      </w:r>
      <w:r>
        <w:rPr>
          <w:i/>
          <w:color w:val="5A6070"/>
          <w:sz w:val="18"/>
        </w:rPr>
        <w:t xml:space="preserve">  (item 2.4.b, 6.10.b; 7.1.1)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Não basta a empresa existir no papel — ela precisa comprovar que já estava de fato operando (vendendo, gastando, faturando) nos últimos 12 meses.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Peça ao contador as Demonstrações Financeiras dos últimos 12 meses mostrando movimentação real — não pode ser uma empresa "de gaveta".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Objeto social, na data de envio, compatível com as atividades da linha temática escolhida</w:t>
      </w:r>
      <w:r>
        <w:rPr>
          <w:i/>
          <w:color w:val="5A6070"/>
          <w:sz w:val="18"/>
        </w:rPr>
        <w:t xml:space="preserve">  (item 2.4.c; item 2, Anexo 1; 7.1.1)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O que está escrito no Contrato Social como "atividade da empresa" precisa combinar com a linha temática escolhida — uma empresa registrada só para "comércio varejista" dificilmente convence numa linha de IA ou robótica.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Releia o objeto social no Contrato Social e compare com a descrição oficial da linha escolhida abaixo. Se não bater, pode ser preciso alterar o Contrato Social com antecedência — fale com o contador/advogado societário, isso não se resolve da noite pro dia.</w:t>
      </w:r>
    </w:p>
    <w:p>
      <w:pPr>
        <w:ind w:left="510"/>
      </w:pPr>
      <w:r>
        <w:rPr>
          <w:sz w:val="19"/>
        </w:rPr>
        <w:t>Linha temática / grupo de concorrência (selecione): 1.1 — Plataformas Nacionais para Operação e Escala de Sistemas de IA / 1.2 — Soluções para camadas de ferramentas e software de sistema da Pilha de IA / 1.3 — Otimização da Infraestrutura Computacional nacional avançada para IA / 2 — GPU Clouds (comoditização de soluções intensivas em IA) / 3 — Robótica Avançada com Inteligência Artificial / 4 — IA intensiva para Proteção Digital de Crianças e Adolescentes / 5 — Tecnologias Quânticas / 6 — Modelos de IA Generativa (setor obrigatório: Agricultura Familiar, Biodiversidade, Educação, Resiliência Climática, Saúde ou Segurança Pública): ______________________________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Sede da empresa no território nacional</w:t>
      </w:r>
      <w:r>
        <w:rPr>
          <w:i/>
          <w:color w:val="5A6070"/>
          <w:sz w:val="18"/>
        </w:rPr>
        <w:t xml:space="preserve">  (item 2.1; 7.1.1)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O endereço oficial (sede) da empresa precisa ser no Brasil — não vale ser filial brasileira de matriz que decide tudo lá fora, só formalmente registrada aqui.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Confirme o endereço da sede no Cartão CNPJ.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Principal atividade de P&amp;D do grupo econômico, na área do projeto, está localizada no Brasil (não é mera tropicalização de solução da matriz estrangeira — exceção: certificação, prototipagem e testes podem ocorrer fora do país)</w:t>
      </w:r>
      <w:r>
        <w:rPr>
          <w:i/>
          <w:color w:val="5A6070"/>
          <w:sz w:val="18"/>
        </w:rPr>
        <w:t xml:space="preserve">  (item 2.4.d; 7.1.1; reforçado por 4.1 e 4.1.3)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Não basta o endereço da empresa ser no Brasil — o trabalho de pesquisa e desenvolvimento em si (cientistas, laboratório, time técnico) também precisa estar aqui. Só "importar" uma solução pronta da matriz estrangeira e adaptar não conta como inovação — mas etapas pontuais como certificação, prototipagem e testes podem acontecer fora do país sem problema.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Descreva honestamente onde o P&amp;D do produto realmente acontece — se for majoritariamente fora do Brasil (além das exceções de certificação/prototipagem/testes), esse critério provavelmente falha, mesmo com a sede formal aqui.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Documentos e link de vídeo da seção 6 enviados no campo específico do formulário de apresentação da proposta</w:t>
      </w:r>
      <w:r>
        <w:rPr>
          <w:i/>
          <w:color w:val="5A6070"/>
          <w:sz w:val="18"/>
        </w:rPr>
        <w:t xml:space="preserve">  (item 7.1.2; itens 6.9, 6.10)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Além de preencher o formulário, é preciso efetivamente anexar/enviar cada documento pedido e o link do vídeo institucional — esquecer um anexo é, por si só, motivo de reprovação nesta etapa, independente de o resto estar perfeito.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Monte uma checklist própria de anexos (Estatuto/Contrato Social, Balanço+DRE, AFE se aplicável, link do vídeo) e confira um por um dentro da plataforma antes de enviar — não confie só na memória.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1"/>
        </w:rPr>
        <w:t>Arranjo escolhido atende aos requisitos aplicáveis</w:t>
      </w:r>
      <w:r>
        <w:rPr>
          <w:i/>
          <w:color w:val="5A6070"/>
          <w:sz w:val="18"/>
        </w:rPr>
        <w:t xml:space="preserve">  (item 3, Anexo 1; 7.1.6)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Vocês não podem submeter sozinhos — o edital exige uma instituição de pesquisa parceira (ICT, como uma universidade ou instituto). Existem dois formatos: "Simples" (só sua empresa + a ICT) ou "em Rede" (sua empresa + outras empresas parceiras + a ICT), cada um com regras próprias.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Decida com a diretoria qual arranjo faz sentido pro projeto, confirme com a ICT que ela topa participar formalmente, e marque os itens da coluna certa abaixo.</w:t>
      </w:r>
    </w:p>
    <w:p>
      <w:pPr>
        <w:ind w:left="510"/>
      </w:pPr>
      <w:r>
        <w:rPr>
          <w:b/>
        </w:rPr>
        <w:t>○ Arranjo Simples</w:t>
      </w:r>
    </w:p>
    <w:p>
      <w:pPr>
        <w:ind w:left="510"/>
      </w:pPr>
      <w:r>
        <w:rPr>
          <w:b/>
        </w:rPr>
        <w:t>○ Arranjo em Rede</w:t>
      </w:r>
    </w:p>
    <w:p>
      <w:pPr>
        <w:ind w:left="510"/>
      </w:pPr>
      <w:r>
        <w:rPr>
          <w:i/>
          <w:color w:val="5A6070"/>
        </w:rPr>
        <w:t>Se "Arranjo Simples":</w:t>
      </w:r>
    </w:p>
    <w:p>
      <w:pPr>
        <w:ind w:left="680"/>
      </w:pPr>
      <w:r>
        <w:rPr>
          <w:sz w:val="22"/>
        </w:rPr>
        <w:t xml:space="preserve">☐ </w:t>
      </w:r>
      <w:r>
        <w:rPr>
          <w:sz w:val="21"/>
        </w:rPr>
        <w:t>Ao menos 1 ICT parceira no arranjo, sendo pelo menos uma não instituída/mantida pela proponente ou coexecutoras</w:t>
      </w:r>
      <w:r>
        <w:rPr>
          <w:i/>
          <w:color w:val="5A6070"/>
          <w:sz w:val="18"/>
        </w:rPr>
        <w:t xml:space="preserve">  (item 3, Anexo 1) [C]</w:t>
      </w:r>
    </w:p>
    <w:p>
      <w:pPr>
        <w:ind w:left="964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A ICT parceira precisa ser realmente independente da sua empresa — não pode ser um instituto criado ou controlado por vocês mesmos.</w:t>
      </w:r>
    </w:p>
    <w:p>
      <w:pPr>
        <w:ind w:left="964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Confirme com a ICT que ela não foi fundada nem é mantida financeiramente pela sua empresa ou por nenhuma coexecutora.</w:t>
      </w:r>
    </w:p>
    <w:p>
      <w:pPr>
        <w:ind w:left="964"/>
      </w:pPr>
      <w:r>
        <w:rPr>
          <w:sz w:val="18"/>
        </w:rPr>
        <w:t>Responsável: ____________________    Concluído em: ____________</w:t>
      </w:r>
    </w:p>
    <w:p>
      <w:pPr>
        <w:ind w:left="510"/>
      </w:pPr>
      <w:r>
        <w:rPr>
          <w:i/>
          <w:color w:val="5A6070"/>
        </w:rPr>
        <w:t>Se "Arranjo em Rede":</w:t>
      </w:r>
    </w:p>
    <w:p>
      <w:pPr>
        <w:ind w:left="680"/>
      </w:pPr>
      <w:r>
        <w:rPr>
          <w:sz w:val="22"/>
        </w:rPr>
        <w:t xml:space="preserve">☐ </w:t>
      </w:r>
      <w:r>
        <w:rPr>
          <w:sz w:val="21"/>
        </w:rPr>
        <w:t>Obrigatoriamente com pelo menos 2 empresas coexecutoras + ao menos 1 ICT, com participação efetiva das coexecutoras (não pode ser prestação de serviços)</w:t>
      </w:r>
      <w:r>
        <w:rPr>
          <w:i/>
          <w:color w:val="5A6070"/>
          <w:sz w:val="18"/>
        </w:rPr>
        <w:t xml:space="preserve">  (item 3, Anexo 1) [C]</w:t>
      </w:r>
    </w:p>
    <w:p>
      <w:pPr>
        <w:ind w:left="964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No arranjo em Rede é obrigatório ter pelo menos duas outras empresas parceiras além da sua, mais a ICT — e elas precisam realmente trabalhar no projeto, não só emprestar o nome.</w:t>
      </w:r>
    </w:p>
    <w:p>
      <w:pPr>
        <w:ind w:left="964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Confirme por escrito (e-mail ou carta de intenção) que pelo menos 2 outras empresas topam entrar como coexecutoras com participação técnica real antes de escolher este arranjo.</w:t>
      </w:r>
    </w:p>
    <w:p>
      <w:pPr>
        <w:ind w:left="964"/>
      </w:pPr>
      <w:r>
        <w:rPr>
          <w:sz w:val="18"/>
        </w:rPr>
        <w:t>Responsável: ____________________    Concluído em: ____________</w:t>
      </w:r>
    </w:p>
    <w:p>
      <w:pPr>
        <w:ind w:left="680"/>
      </w:pPr>
      <w:r>
        <w:rPr>
          <w:sz w:val="22"/>
        </w:rPr>
        <w:t xml:space="preserve">☐ </w:t>
      </w:r>
      <w:r>
        <w:rPr>
          <w:sz w:val="21"/>
        </w:rPr>
        <w:t>Ao menos 5% do valor total do projeto destinado à(s) ICT(s)</w:t>
      </w:r>
      <w:r>
        <w:rPr>
          <w:i/>
          <w:color w:val="5A6070"/>
          <w:sz w:val="18"/>
        </w:rPr>
        <w:t xml:space="preserve">  (item 3.ii, Anexo 1) [C]</w:t>
      </w:r>
    </w:p>
    <w:p>
      <w:pPr>
        <w:ind w:left="964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Pelo menos 5% de todo o dinheiro do projeto precisa ir para a instituição de pesquisa parceira, não só para as empresas.</w:t>
      </w:r>
    </w:p>
    <w:p>
      <w:pPr>
        <w:ind w:left="964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Ao montar o orçamento (Fase 3), calcule 5% do valor total da proposta e reserve isso para a ICT.</w:t>
      </w:r>
    </w:p>
    <w:p>
      <w:pPr>
        <w:ind w:left="964"/>
      </w:pPr>
      <w:r>
        <w:rPr>
          <w:sz w:val="18"/>
        </w:rPr>
        <w:t>Responsável: ____________________    Concluído em: ____________</w:t>
      </w:r>
    </w:p>
    <w:p>
      <w:pPr>
        <w:ind w:left="680"/>
      </w:pPr>
      <w:r>
        <w:rPr>
          <w:sz w:val="22"/>
        </w:rPr>
        <w:t xml:space="preserve">☐ </w:t>
      </w:r>
      <w:r>
        <w:rPr>
          <w:sz w:val="21"/>
        </w:rPr>
        <w:t>Ao menos uma empresa participante (proponente ou coexecutora) com receita operacional bruta ≥ R$16.000.000 no ano anterior à submissão (exceção: propostas de jan-mar podem considerar o último ano com demonstrativos fechados)</w:t>
      </w:r>
      <w:r>
        <w:rPr>
          <w:i/>
          <w:color w:val="5A6070"/>
          <w:sz w:val="18"/>
        </w:rPr>
        <w:t xml:space="preserve">  (item 3, Anexo 1) [C]</w:t>
      </w:r>
    </w:p>
    <w:p>
      <w:pPr>
        <w:ind w:left="964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Pelo menos uma empresa do grupo precisa ter faturamento de R$16 milhões ou mais — trava para o arranjo em Rede não ser usado só por microempresas. Se vocês submeterem entre janeiro e março, podem usar o faturamento do ano anterior ao invés do último fechado, já que o balanço do ano mais recente pode ainda não estar pronto.</w:t>
      </w:r>
    </w:p>
    <w:p>
      <w:pPr>
        <w:ind w:left="964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Some o faturamento bruto de cada empresa do arranjo (ver DRE) e confirme se alguma bate esse valor — se estiver enviando entre jan-mar, confirme com o contador qual exercício usar.</w:t>
      </w:r>
    </w:p>
    <w:p>
      <w:pPr>
        <w:ind w:left="964"/>
      </w:pPr>
      <w:r>
        <w:rPr>
          <w:sz w:val="18"/>
        </w:rPr>
        <w:t>Responsável: ____________________    Concluído em: ____________</w:t>
      </w:r>
    </w:p>
    <w:p>
      <w:pPr>
        <w:ind w:left="680"/>
      </w:pPr>
      <w:r>
        <w:rPr>
          <w:sz w:val="22"/>
        </w:rPr>
        <w:t xml:space="preserve">☐ </w:t>
      </w:r>
      <w:r>
        <w:rPr>
          <w:sz w:val="21"/>
        </w:rPr>
        <w:t>Proponente não pertence ao mesmo grupo econômico de 2 ou mais coexecutoras; nenhuma coexecutora pertence ao mesmo grupo econômico de outra coexecutora</w:t>
      </w:r>
      <w:r>
        <w:rPr>
          <w:i/>
          <w:color w:val="5A6070"/>
          <w:sz w:val="18"/>
        </w:rPr>
        <w:t xml:space="preserve">  (item 3, Anexo 1) [C]</w:t>
      </w:r>
    </w:p>
    <w:p>
      <w:pPr>
        <w:ind w:left="964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As empresas do arranjo precisam ser realmente independentes entre si — não pode ser a mesma empresa "disfarçada" em várias CNPJs para inflar o número de parceiros.</w:t>
      </w:r>
    </w:p>
    <w:p>
      <w:pPr>
        <w:ind w:left="964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Confirme que nenhuma empresa participante é controlada pelo mesmo grupo que controla outra do arranjo — em caso de dúvida, um advogado societário confirma rápido.</w:t>
      </w:r>
    </w:p>
    <w:p>
      <w:pPr>
        <w:ind w:left="964"/>
      </w:pPr>
      <w:r>
        <w:rPr>
          <w:sz w:val="18"/>
        </w:rPr>
        <w:t>Responsável: ____________________    Concluído em: ____________</w:t>
      </w:r>
    </w:p>
    <w:p>
      <w:pPr>
        <w:ind w:left="680"/>
      </w:pPr>
      <w:r>
        <w:rPr>
          <w:sz w:val="22"/>
        </w:rPr>
        <w:t xml:space="preserve">☐ </w:t>
      </w:r>
      <w:r>
        <w:rPr>
          <w:sz w:val="21"/>
        </w:rPr>
        <w:t>A(s) ICT(s) responsável(is) pelos 5% não é(são) instituída(s)/mantida(s) por nenhuma empresa do arranjo, nem por empresa fora do arranjo que integre o grupo econômico de alguma delas</w:t>
      </w:r>
      <w:r>
        <w:rPr>
          <w:i/>
          <w:color w:val="5A6070"/>
          <w:sz w:val="18"/>
        </w:rPr>
        <w:t xml:space="preserve">  (item 3, Anexo 1) [C]</w:t>
      </w:r>
    </w:p>
    <w:p>
      <w:pPr>
        <w:ind w:left="964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Mesma lógica do arranjo Simples, só que mais rígida — a ICT que recebe os 5% precisa ser independente não só das empresas do projeto, mas de qualquer empresa do mesmo grupo econômico delas, mesmo que essa empresa não participe do arranjo.</w:t>
      </w:r>
    </w:p>
    <w:p>
      <w:pPr>
        <w:ind w:left="964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Confirme com a ICT que ela não foi fundada nem é mantida por nenhuma empresa do arranjo ou do grupo econômico de qualquer uma delas.</w:t>
      </w:r>
    </w:p>
    <w:p>
      <w:pPr>
        <w:ind w:left="964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Anuência formal da ICT parceira obtida</w:t>
      </w:r>
      <w:r>
        <w:rPr>
          <w:i/>
          <w:color w:val="5A6070"/>
          <w:sz w:val="18"/>
        </w:rPr>
        <w:t xml:space="preserve">  (item 2.6 (participação obrigatória de ICT — a formalização por anuência é prática usual para comprovar a parceria, não uma exigência literal desse artigo))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Não basta "ter conversado" com a universidade/instituto — precisa de um documento formal assinado confirmando que ela topa participar do projeto.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Peça à ICT uma carta de anuência assinada pelo representante legal — comece esse pedido o quanto antes, universidades costumam ter processo interno lento para assinar.</w:t>
      </w:r>
    </w:p>
    <w:p>
      <w:pPr>
        <w:ind w:left="510"/>
      </w:pPr>
      <w:r>
        <w:rPr>
          <w:sz w:val="19"/>
        </w:rPr>
        <w:t>Nome da ICT parceira: ______________________________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Patrimônio líquido positivo</w:t>
      </w:r>
      <w:r>
        <w:rPr>
          <w:i/>
          <w:color w:val="5A6070"/>
          <w:sz w:val="18"/>
        </w:rPr>
        <w:t xml:space="preserve">  (item 7.1.7.a)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As contas da empresa (o que ela tem menos o que ela deve) precisam estar no azul — patrimônio líquido negativo já reprova de cara.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Peça ao contador o valor do Patrimônio Líquido no último Balanço Patrimonial fechado.</w:t>
      </w:r>
    </w:p>
    <w:p>
      <w:pPr>
        <w:ind w:left="510"/>
      </w:pPr>
      <w:r>
        <w:rPr>
          <w:sz w:val="19"/>
        </w:rPr>
        <w:t>Patrimônio líquido (R$): ______________________________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1"/>
        </w:rPr>
        <w:t>Teste de resultado operacional (cumulativo ao item anterior — ao menos 1 dos 3 abaixo; a proposta é indeferida se nenhum se aplicar)</w:t>
      </w:r>
      <w:r>
        <w:rPr>
          <w:i/>
          <w:color w:val="5A6070"/>
          <w:sz w:val="18"/>
        </w:rPr>
        <w:t xml:space="preserve">  (item 7.1.7.b, 7.1.7.1)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Além do patrimônio líquido positivo, a Finep também confere se o resultado operacional é saudável o bastante para bancar a contrapartida exigida — existem três formas alternativas de passar, dependendo se o resultado é positivo ou negativo.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Peça ao contador o Resultado Operacional, o Endividamento Oneroso e o Ativo Total do último balanço, e veja com ele qual dos três cenários (b.1/b.2/b.3) se aplica antes de fechar o arranjo/contrapartida.</w:t>
      </w:r>
    </w:p>
    <w:p>
      <w:pPr>
        <w:ind w:left="510"/>
      </w:pPr>
      <w:r>
        <w:rPr>
          <w:sz w:val="19"/>
        </w:rPr>
        <w:t>○ (b.1) Resultado operacional negativo, com endividamento oneroso ≤30% do ativo total e contrapartida ≤50% do ativo total</w:t>
      </w:r>
    </w:p>
    <w:p>
      <w:pPr>
        <w:ind w:left="510"/>
      </w:pPr>
      <w:r>
        <w:rPr>
          <w:sz w:val="19"/>
        </w:rPr>
        <w:t>○ (b.2) Resultado operacional positivo, com contrapartida ≤20% do resultado operacional</w:t>
      </w:r>
    </w:p>
    <w:p>
      <w:pPr>
        <w:ind w:left="510"/>
      </w:pPr>
      <w:r>
        <w:rPr>
          <w:sz w:val="19"/>
        </w:rPr>
        <w:t>○ (b.3) Resultado operacional positivo, contrapartida &gt;20% do resultado operacional mas endividamento oneroso ≤30% do ativo total e contrapartida ≤50% do ativo total</w:t>
      </w:r>
    </w:p>
    <w:p>
      <w:pPr>
        <w:ind w:left="510"/>
      </w:pPr>
      <w:r>
        <w:rPr>
          <w:sz w:val="19"/>
        </w:rPr>
        <w:t>Resultado operacional (R$): _________________________</w:t>
      </w:r>
    </w:p>
    <w:p>
      <w:pPr>
        <w:ind w:left="510"/>
      </w:pPr>
      <w:r>
        <w:rPr>
          <w:sz w:val="19"/>
        </w:rPr>
        <w:t>Endividamento oneroso (R$): _________________________</w:t>
      </w:r>
    </w:p>
    <w:p>
      <w:pPr>
        <w:ind w:left="510"/>
      </w:pPr>
      <w:r>
        <w:rPr>
          <w:sz w:val="19"/>
        </w:rPr>
        <w:t>Ativo total (R$): _________________________</w:t>
      </w:r>
    </w:p>
    <w:p>
      <w:pPr>
        <w:ind w:left="510"/>
      </w:pPr>
      <w:r>
        <w:rPr>
          <w:sz w:val="19"/>
        </w:rPr>
        <w:t>Contrapartida (R$): _________________________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Valor solicitado dentro do teto/piso do arranjo escolhido — mínimo R$5.000.000 para ambos; máximo R$25.000.000 (Arranjo Simples) ou R$40.000.000 (Arranjo em Rede). Atenção: o teto aqui é por ARRANJO, não por linha temática — mas há também um teto agregado de R$100 milhões por linha temática (ver Riscos)</w:t>
      </w:r>
      <w:r>
        <w:rPr>
          <w:i/>
          <w:color w:val="5A6070"/>
          <w:sz w:val="18"/>
        </w:rPr>
        <w:t xml:space="preserve">  (item 5, Anexo 1; 7.1.3; 4.2.2)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Diferente de outros editais da Finep que limitam o valor por linha temática, aqui o teto depende do tipo de arranjo escolhido (Simples ou Rede) — pedir fora dessa faixa reprova a proposta automaticamente.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Defina primeiro o arranjo (item acima), depois confira o teto correspondente, e ajuste o orçamento do projeto para caber dentro da faixa antes de submeter.</w:t>
      </w:r>
    </w:p>
    <w:p>
      <w:pPr>
        <w:ind w:left="510"/>
      </w:pPr>
      <w:r>
        <w:rPr>
          <w:sz w:val="19"/>
        </w:rPr>
        <w:t>Valor solicitado à Finep (R$): ______________________________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Percentual de contrapartida financeira atende ao mínimo exigido por porte × arranjo (tabela do item 6, Anexo 1 — de 5% a 50%; Micro/Pequena Empresa não têm percentual definido para Arranjo em Rede)</w:t>
      </w:r>
      <w:r>
        <w:rPr>
          <w:i/>
          <w:color w:val="5A6070"/>
          <w:sz w:val="18"/>
        </w:rPr>
        <w:t xml:space="preserve">  (item 7.1.4; item 6, Anexo 1)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A Finep não banca 100% do projeto — a empresa precisa colocar uma parte própria (contrapartida), e o percentual mínimo depende do porte (faturamento) da empresa de maior porte no arranjo e do arranjo escolhido.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Descubra o porte pela receita operacional bruta da empresa de maior porte no arranjo (tabela do Anexo 1) e calcule o percentual mínimo sobre o valor total da proposta — reserve esse dinheiro com antecedência, ele precisa estar numa conta específica antes de cada parcela.</w:t>
      </w:r>
    </w:p>
    <w:p>
      <w:pPr>
        <w:ind w:left="510"/>
      </w:pPr>
      <w:r>
        <w:rPr>
          <w:sz w:val="19"/>
        </w:rPr>
        <w:t>Percentual de contrapartida (%): ______________________________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Prazo de execução do projeto ≤ 36 meses (prorrogável, justificadamente, a critério da Finep)</w:t>
      </w:r>
      <w:r>
        <w:rPr>
          <w:i/>
          <w:color w:val="5A6070"/>
          <w:sz w:val="18"/>
        </w:rPr>
        <w:t xml:space="preserve">  (item 7, Anexo 1; 7.1.5)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O projeto inteiro, do início até a entrega final, não pode durar mais que 3 anos, mesmo que na prática vocês precisem de mais tempo — dá pra pedir prorrogação depois, mas com justificativa e a critério da Finep, não é automático.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Monte o cronograma físico do projeto e confirme que cabe em até 36 meses — se não couber, reduza o escopo ou divida em fases.</w:t>
      </w:r>
    </w:p>
    <w:p>
      <w:pPr>
        <w:ind w:left="510"/>
      </w:pPr>
      <w:r>
        <w:rPr>
          <w:sz w:val="19"/>
        </w:rPr>
        <w:t>Prazo de execução (meses): ______________________________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TRL de entrada e saída do projeto dentro da faixa 3 a 8 (projetos que preveem atingir TRL 8 devem necessariamente iniciar entre TRL 3 e 6)</w:t>
      </w:r>
      <w:r>
        <w:rPr>
          <w:i/>
          <w:color w:val="5A6070"/>
          <w:sz w:val="18"/>
        </w:rPr>
        <w:t xml:space="preserve">  (item 1, Anexo 1; aderência avaliada em 7.1.6)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TRL é uma escala de 1 a 9 que mede o quão "pronta" é a tecnologia — 1 é só uma ideia teórica, 9 é produto vendido no mercado. Este edital só financia projetos que já passaram da fase de ideia pura (TRL 3) mas ainda não estão prontos para venda (até TRL 8) — e quem mira chegar em TRL 8 precisa ter começado bem antes (entre TRL 3 e 6), não pode "pular" direto para quase o final.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Se você não sabe estimar o TRL do seu projeto, o Anexo 5 do Regulamento tem a definição de cada nível — compare a maturidade real do seu produto com essas descrições.</w:t>
      </w:r>
    </w:p>
    <w:p>
      <w:pPr>
        <w:ind w:left="510"/>
      </w:pPr>
      <w:r>
        <w:rPr>
          <w:sz w:val="19"/>
        </w:rPr>
        <w:t>TRL entrada → saída: ______________________________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pStyle w:val="Heading1"/>
      </w:pPr>
      <w:r>
        <w:t>Fase 2 — Modelagem Técnica e Análise de Mérito</w:t>
      </w:r>
    </w:p>
    <w:p>
      <w:r>
        <w:rPr>
          <w:b/>
          <w:color w:val="3A5FD9"/>
          <w:sz w:val="19"/>
        </w:rPr>
        <w:t>Não bloqueada — trabalhe em paralelo à Fase 1</w:t>
      </w:r>
    </w:p>
    <w:p>
      <w:r>
        <w:rPr>
          <w:color w:val="5A6070"/>
          <w:sz w:val="19"/>
        </w:rPr>
        <w:t>🗓 Pode começar imediatamente, em paralelo à Fase 1.</w:t>
      </w:r>
    </w:p>
    <w:p>
      <w:r>
        <w:rPr>
          <w:color w:val="5A6070"/>
          <w:sz w:val="19"/>
        </w:rPr>
        <w:t>Núcleo técnico da proposta (FAP, vídeo, equipe) e os critérios que a Finep reavalia na Etapa 2 (Análise de Mérito) — alguns coincidem com itens já checados na Fase 1, mas o próprio Regulamento os cita separadamente nas duas etapas.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FAP preenchido com equipe, metodologia, TRL, metas físicas, atividades, indicadores e orçamento coerentes entre si (indicador "Consistência", eliminatório — proposta é reprovada se não for consistente)</w:t>
      </w:r>
      <w:r>
        <w:rPr>
          <w:i/>
          <w:color w:val="5A6070"/>
          <w:sz w:val="18"/>
        </w:rPr>
        <w:t xml:space="preserve">  (item 7.2.1.1)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O FAP é o formulário técnico principal da proposta — a Finep confere se equipe, metodologia, metas, indicadores e orçamento contam a mesma história, sem contradição entre as partes. Se for inconsistente, reprova mesmo com uma boa ideia.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Depois de preencher o FAP, releia do início ao fim como se fosse um avaliador de fora: as metas batem com o cronograma? A equipe descrita tem a formação necessária? O orçamento reflete o que está escrito na metodologia?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Adequação dos TRLs conforme item 1 do Anexo 1 — checagem específica da Etapa 2 (Análise de Mérito), distinta (ou redundante — o Regulamento não deixa claro) da checagem de aderência já feita na Fase 1</w:t>
      </w:r>
      <w:r>
        <w:rPr>
          <w:i/>
          <w:color w:val="5A6070"/>
          <w:sz w:val="18"/>
        </w:rPr>
        <w:t xml:space="preserve">  (item 9, Anexo 1; citado em 7.2.4/7.2.5) [E] [?]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O Regulamento cita a "adequação dos TRLs" como critério eliminatório duas vezes — uma na Habilitação (Fase 1, via item 7.1.6) e outra aqui, na Análise de Mérito (via item 9 do Anexo 1). Não fica claro se é a mesma checagem repetida ou se a segunda é mais rigorosa.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Garanta que o TRL declarado no FAP seja exatamente o mesmo informado na Fase 1 — nunca declare TRLs diferentes em lugares diferentes do processo.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Elegibilidade do arranjo conforme item 3 do Anexo 1 — checagem específica da Etapa 2 (Análise de Mérito), citada junto com a checagem já feita na Fase 1</w:t>
      </w:r>
      <w:r>
        <w:rPr>
          <w:i/>
          <w:color w:val="5A6070"/>
          <w:sz w:val="18"/>
        </w:rPr>
        <w:t xml:space="preserve">  (item 3, Anexo 1; citado em 7.2.4/7.2.5) [E] [?]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Mesma situação do item de TRL acima: a elegibilidade do arranjo aparece como critério tanto na Habilitação (Fase 1) quanto aqui na Análise de Mérito — provavelmente é a mesma checagem reafirmada, mas o texto do edital não esclarece.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Garanta que as informações de arranjo (Simples/Rede, coexecutoras, ICT) sejam idênticas entre o que foi marcado na Fase 1 e o que está escrito no FAP.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Pontuação mínima de 14 pontos na Análise de Mérito, com reprovação automática se a nota for 0 em "Grau de Incerteza Tecnológica", "Abrangência" ou "Relevância do Tema Dentro das Prioridades do Setor"</w:t>
      </w:r>
      <w:r>
        <w:rPr>
          <w:i/>
          <w:color w:val="5A6070"/>
          <w:sz w:val="18"/>
        </w:rPr>
        <w:t xml:space="preserve">  (item 8, Anexo 1)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Mesmo passando pela Habilitação, o projeto ainda precisa ser bem avaliado tecnicamente — juntar pelo menos 14 pontos no total, e nunca zerar em três critérios específicos, ou é reprovado mesmo com boa pontuação geral.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Ao escrever a metodologia e a justificativa de inovação no FAP, dê atenção especial a esses três critérios (risco tecnológico real, ineditismo, e alinhamento com as prioridades do setor) — são os que reprovam sozinhos se ficarem em zero.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Vídeo de até 10 min enviado como link (nunca upload), cobrindo (i) inovação/relevância do projeto e (ii) capacidade técnica, infraestrutura e parceiros — link não pode ter acesso restrito, senha, data de expiração ou exigir qualquer forma de autenticação</w:t>
      </w:r>
      <w:r>
        <w:rPr>
          <w:i/>
          <w:color w:val="5A6070"/>
          <w:sz w:val="18"/>
        </w:rPr>
        <w:t xml:space="preserve">  (item 6.9, 6.9.a) [C]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Além do texto, é obrigatório mandar um vídeo curto mostrando a inovação e a capacidade da empresa — mas atenção: qualquer link que peça senha, login ou que expire é automaticamente rejeitado, mesmo que o conteúdo esteja ótimo.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Grave em até 10 minutos, suba num serviço de vídeo com link público permanente (ex.: YouTube não-listado, sem restrição de acesso) e teste o link numa aba anônima do navegador para confirmar que abre sem pedir nada.</w:t>
      </w:r>
    </w:p>
    <w:p>
      <w:pPr>
        <w:ind w:left="510"/>
      </w:pPr>
      <w:r>
        <w:rPr>
          <w:sz w:val="19"/>
        </w:rPr>
        <w:t>Link do vídeo: ______________________________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Currículos Lattes de toda a equipe executora anexados</w:t>
      </w:r>
      <w:r>
        <w:rPr>
          <w:i/>
          <w:color w:val="5A6070"/>
          <w:sz w:val="18"/>
        </w:rPr>
        <w:t xml:space="preserve">  (FAP, item 6.10) [C]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A Finep quer ver o currículo acadêmico/profissional (Currículo Lattes, plataforma oficial de currículos científicos no Brasil) de quem vai efetivamente trabalhar no projeto.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Peça a cada integrante da equipe técnica para atualizar o Lattes na plataforma CNPq antes de submeter — um Lattes desatualizado pode prejudicar a nota de qualificação da equipe.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pStyle w:val="Heading1"/>
      </w:pPr>
      <w:r>
        <w:t>Fase 3 — Orçamento</w:t>
      </w:r>
    </w:p>
    <w:p>
      <w:r>
        <w:rPr>
          <w:b/>
          <w:color w:val="3A5FD9"/>
          <w:sz w:val="19"/>
        </w:rPr>
        <w:t>Não bloqueada — trabalhe em paralelo à Fase 1</w:t>
      </w:r>
    </w:p>
    <w:p>
      <w:r>
        <w:rPr>
          <w:color w:val="5A6070"/>
          <w:sz w:val="19"/>
        </w:rPr>
        <w:t>🗓 Pode começar imediatamente, em paralelo à Fase 1.</w:t>
      </w:r>
    </w:p>
    <w:p>
      <w:r>
        <w:rPr>
          <w:color w:val="5A6070"/>
          <w:sz w:val="19"/>
        </w:rPr>
        <w:t>Tradução do plano de trabalho em custos, dentro das rubricas e vedações do Regulamento. Valor e contrapartida já são registrados na Fase 1 — aqui é o detalhamento.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Balanço Patrimonial e Demonstrativo de Resultado do último ano, assinados por contador com nº de registro no CRC — se a empresa pertencer a grupo econômico, também é necessário enviar a documentação financeira consolidada do grupo; alternativamente ao Balanço/DRE assinado, aceitam-se documentos auditados por auditoria independente ou gerados pelo Sped/ECF</w:t>
      </w:r>
      <w:r>
        <w:rPr>
          <w:i/>
          <w:color w:val="5A6070"/>
          <w:sz w:val="18"/>
        </w:rPr>
        <w:t xml:space="preserve">  (item 6.10.b, b.1, b.2, b.4) [E]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Não basta ter os números — o Balanço e a DRE precisam vir assinados formalmente por um contador registrado. Se a empresa pertence a um grupo econômico, a contabilidade consolidada do grupo é exigida ADEMAIS do Balanço/DRE da própria empresa, não no lugar dele. Já a via de auditoria independente/Sped-ECF essa sim é uma alternativa real ao Balanço/DRE assinado, para quem já usa esses formatos.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Peça ao contador o Balanço e a DRE do último ano fechado, com assinatura e CRC visíveis. Se a empresa faz parte de um grupo econômico, pergunte ao contador logo de início se a documentação consolidada também precisa ser enviada — não é opcional nesse caso.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Mesmo sendo optante pelo SIMPLES, a documentação contábil acima foi enviada (não há isenção)</w:t>
      </w:r>
      <w:r>
        <w:rPr>
          <w:i/>
          <w:color w:val="5A6070"/>
          <w:sz w:val="18"/>
        </w:rPr>
        <w:t xml:space="preserve">  (item 6.10.b.3) [C]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Se a empresa é optante pelo Simples Nacional, muita gente acha que fica dispensada de mandar contabilidade formal — não é o caso neste edital.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Mesmo sendo do SIMPLES, peça ao contador o mesmo Balanço/DRE assinado do item anterior.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Nenhuma despesa vedada incluída no orçamento (pró-labore, PLR, pagamento a agente público da ativa fora das exceções legais, diárias/passagens a agente público fora de pesquisa científica)</w:t>
      </w:r>
      <w:r>
        <w:rPr>
          <w:i/>
          <w:color w:val="5A6070"/>
          <w:sz w:val="18"/>
        </w:rPr>
        <w:t xml:space="preserve">  (item 4.4) [C]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Existem gastos que a Finep nunca paga com esse dinheiro — bolsas, participação nos lucros (PLR), pró-labore, e pagamento a funcionário público fora de regras bem específicas. Colocar isso no orçamento reprova o item.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Revise linha por linha o orçamento do projeto e confirme que nenhuma rubrica é, disfarçadamente, um desses gastos vedados.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Se Arranjo em Rede: ao menos 5% do orçamento destinado à(s) ICT(s), registrado exclusivamente na rubrica Serviços de Consultoria</w:t>
      </w:r>
      <w:r>
        <w:rPr>
          <w:i/>
          <w:color w:val="5A6070"/>
          <w:sz w:val="18"/>
        </w:rPr>
        <w:t xml:space="preserve">  (item 3.ii, Anexo 1 (5%); item 4.3.3 do Regulamento (rubrica)) [C]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Repetindo o critério da Fase 1, mas agora na prática do orçamento: se o arranjo for em Rede, o orçamento detalhado precisa mostrar de fato 5% do valor indo para a ICT, numa rubrica específica.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No detalhamento orçamentário, separe claramente a rubrica "Serviços de Consultoria" com o valor da ICT, e confira que soma pelo menos 5% do total.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pStyle w:val="Heading1"/>
      </w:pPr>
      <w:r>
        <w:t>Fase 4 — Revisão Final e Submissão</w:t>
      </w:r>
    </w:p>
    <w:p>
      <w:r>
        <w:rPr>
          <w:b/>
          <w:color w:val="3A5FD9"/>
          <w:sz w:val="19"/>
        </w:rPr>
        <w:t>2º GATE — botão de envio só libera com a Fase 1 completa E todos os itens desta fase marcados</w:t>
      </w:r>
    </w:p>
    <w:p>
      <w:r>
        <w:rPr>
          <w:color w:val="5A6070"/>
          <w:sz w:val="19"/>
        </w:rPr>
        <w:t>🗓 Última etapa antes do envio — reserve pelo menos 2 dias de folga antes do prazo oficial.</w:t>
      </w:r>
    </w:p>
    <w:p>
      <w:r>
        <w:rPr>
          <w:color w:val="5A6070"/>
          <w:sz w:val="19"/>
        </w:rPr>
        <w:t>Upload, preenchimento da plataforma e conferência final antes do envio definitivo.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Cadastro prévio em cadastro.finep.gov.br — segmentos "Básico de Pessoa Jurídica" e "Características Tecnológicas" (proponente); só "Básico de PJ" (coexecutoras)</w:t>
      </w:r>
      <w:r>
        <w:rPr>
          <w:i/>
          <w:color w:val="5A6070"/>
          <w:sz w:val="18"/>
        </w:rPr>
        <w:t xml:space="preserve">  (item 6.6) [C]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Antes de conseguir enviar qualquer coisa, todo mundo envolvido (empresa proponente e cada coexecutora) precisa ter um cadastro básico feito no site da Finep.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Acesse cadastro.finep.gov.br e crie o cadastro da empresa com antecedência (não deixe para a última semana) — proponente preenche um segmento a mais que coexecutoras.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Proposta preenchida em financiamento.finep.gov.br conforme o Manual da Plataforma</w:t>
      </w:r>
      <w:r>
        <w:rPr>
          <w:i/>
          <w:color w:val="5A6070"/>
          <w:sz w:val="18"/>
        </w:rPr>
        <w:t xml:space="preserve">  (item 6.7, 6.8) [C]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O texto/dados da proposta em si só valem se estiverem dentro do sistema oficial da Finep — mandar por e-mail ou papel não é aceito.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Preencha tudo dentro de financiamento.finep.gov.br, seguindo o Manual da Plataforma disponibilizado lá — reserve tempo, sistemas de submissão costumam ser burocráticos.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Consentimento dos titulares de dados pessoais obtido, conforme LGPD (Lei 13.709/2018), e Aviso de Privacidade da Finep comunicado</w:t>
      </w:r>
      <w:r>
        <w:rPr>
          <w:i/>
          <w:color w:val="5A6070"/>
          <w:sz w:val="18"/>
        </w:rPr>
        <w:t xml:space="preserve">  (item 11.4) [C]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Como a proposta tem dados pessoais de gente da equipe (nome, CPF, currículo), a lei de proteção de dados exige que cada pessoa tenha consentido com isso antes de enviar.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Antes de enviar os dados da equipe, avise cada integrante de que os dados dele vão para a Finep e obtenha uma confirmação simples (pode ser por e-mail) de que ele está ciente.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Confirmado que a empresa não excede 2 propostas totais / 1 proposta por grupo de concorrência (ver nota sobre sub-linhas 1.1/1.2/1.3 em Riscos)</w:t>
      </w:r>
      <w:r>
        <w:rPr>
          <w:i/>
          <w:color w:val="5A6070"/>
          <w:sz w:val="18"/>
        </w:rPr>
        <w:t xml:space="preserve">  (item 6.2) [C]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É fácil perder a conta de quantas propostas a empresa já tem em andamento — o edital só permite 2 no total e só 1 por linha temática (com uma ambiguidade sobre as sub-linhas de IA, ver Riscos).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Liste rapidamente qualquer outra proposta que a empresa (ou uma coexecutora) já tenha em análise neste edital, e confirme que esta nova não estoura o limite.</w:t>
      </w:r>
    </w:p>
    <w:p>
      <w:pPr>
        <w:ind w:left="510"/>
      </w:pPr>
      <w:r>
        <w:rPr>
          <w:sz w:val="19"/>
        </w:rPr>
        <w:t>Outras propostas em andamento (se houver): ________________________________________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pPr>
        <w:ind w:left="227"/>
      </w:pPr>
      <w:r>
        <w:rPr>
          <w:sz w:val="22"/>
        </w:rPr>
        <w:t xml:space="preserve">☐ </w:t>
      </w:r>
      <w:r>
        <w:rPr>
          <w:sz w:val="21"/>
        </w:rPr>
        <w:t>Data/hora planejada de envio definida com folga antes do prazo oficial</w:t>
      </w:r>
      <w:r>
        <w:rPr>
          <w:i/>
          <w:color w:val="5A6070"/>
          <w:sz w:val="18"/>
        </w:rPr>
        <w:t xml:space="preserve">  (meta interna) [C]</w:t>
      </w:r>
    </w:p>
    <w:p>
      <w:pPr>
        <w:ind w:left="510"/>
      </w:pPr>
      <w:r>
        <w:rPr>
          <w:b/>
          <w:sz w:val="19"/>
        </w:rPr>
        <w:t xml:space="preserve">💬 Em outras palavras: </w:t>
      </w:r>
      <w:r>
        <w:rPr>
          <w:color w:val="1E3A8A"/>
          <w:sz w:val="19"/>
        </w:rPr>
        <w:t>Definir uma data-alvo interna, alguns dias antes do prazo oficial, evita o clássico problema de tentar enviar em cima da hora e travar por causa de instabilidade no sistema.</w:t>
      </w:r>
    </w:p>
    <w:p>
      <w:pPr>
        <w:ind w:left="510"/>
      </w:pPr>
      <w:r>
        <w:rPr>
          <w:b/>
          <w:sz w:val="19"/>
        </w:rPr>
        <w:t xml:space="preserve">🧭 Como preencher: </w:t>
      </w:r>
      <w:r>
        <w:rPr>
          <w:color w:val="14532D"/>
          <w:sz w:val="19"/>
        </w:rPr>
        <w:t>Marque no calendário do time uma data pelo menos 2 dias antes do prazo oficial (30/09/2026, 17h) como "deadline interno" de envio.</w:t>
      </w:r>
    </w:p>
    <w:p>
      <w:pPr>
        <w:ind w:left="510"/>
      </w:pPr>
      <w:r>
        <w:rPr>
          <w:sz w:val="19"/>
        </w:rPr>
        <w:t>Data/hora planejada de envio: ______________________________</w:t>
      </w:r>
    </w:p>
    <w:p>
      <w:pPr>
        <w:ind w:left="510"/>
      </w:pPr>
      <w:r>
        <w:rPr>
          <w:sz w:val="18"/>
        </w:rPr>
        <w:t>Responsável: ____________________    Concluído em: ____________</w:t>
      </w:r>
    </w:p>
    <w:p>
      <w:r>
        <w:rPr>
          <w:b/>
        </w:rPr>
        <w:t>☐ Proposta pronta para envio</w:t>
      </w:r>
    </w:p>
    <w:p>
      <w:pPr>
        <w:pStyle w:val="Heading1"/>
      </w:pPr>
      <w:r>
        <w:t>Pós-aprovação / Contratação  [C — não bloqueia o envio]</w:t>
      </w:r>
    </w:p>
    <w:p>
      <w:r>
        <w:rPr>
          <w:color w:val="5A6070"/>
          <w:sz w:val="19"/>
        </w:rPr>
        <w:t>Estes documentos só são exigidos depois da proposta aprovada, na fase de contratação (item 9.5) — não fazem parte da submissão.</w:t>
      </w:r>
    </w:p>
    <w:p>
      <w:pPr>
        <w:pStyle w:val="ListBullet"/>
      </w:pPr>
      <w:r>
        <w:t>Certidão de Débitos relativos aos Tributos Federais e à Dívida Ativa da União</w:t>
      </w:r>
      <w:r>
        <w:rPr>
          <w:i/>
          <w:color w:val="5A6070"/>
          <w:sz w:val="18"/>
        </w:rPr>
        <w:t xml:space="preserve">  (item 9.5.ii.a)</w:t>
      </w:r>
    </w:p>
    <w:p>
      <w:pPr>
        <w:pStyle w:val="ListBullet"/>
      </w:pPr>
      <w:r>
        <w:t>Certificado de Regularidade do FGTS</w:t>
      </w:r>
      <w:r>
        <w:rPr>
          <w:i/>
          <w:color w:val="5A6070"/>
          <w:sz w:val="18"/>
        </w:rPr>
        <w:t xml:space="preserve">  (item 9.5.ii.b)</w:t>
      </w:r>
    </w:p>
    <w:p>
      <w:pPr>
        <w:pStyle w:val="ListBullet"/>
      </w:pPr>
      <w:r>
        <w:t>Adimplência com a União via consulta ao CADIN</w:t>
      </w:r>
      <w:r>
        <w:rPr>
          <w:i/>
          <w:color w:val="5A6070"/>
          <w:sz w:val="18"/>
        </w:rPr>
        <w:t xml:space="preserve">  (item 9.5.ii.c)</w:t>
      </w:r>
    </w:p>
    <w:p>
      <w:pPr>
        <w:pStyle w:val="ListBullet"/>
      </w:pPr>
      <w:r>
        <w:t>Cadastro Nacional de Condenações Cíveis por Improbidade e Inelegibilidade (CNCIAI), inclusive sócio majoritário</w:t>
      </w:r>
      <w:r>
        <w:rPr>
          <w:i/>
          <w:color w:val="5A6070"/>
          <w:sz w:val="18"/>
        </w:rPr>
        <w:t xml:space="preserve">  (item 9.5.ii.d)</w:t>
      </w:r>
    </w:p>
    <w:p>
      <w:pPr>
        <w:pStyle w:val="ListBullet"/>
      </w:pPr>
      <w:r>
        <w:t>Cadastro Nacional de Empresas Inidôneas e Suspensas (CEIS), inclusive sócio majoritário</w:t>
      </w:r>
      <w:r>
        <w:rPr>
          <w:i/>
          <w:color w:val="5A6070"/>
          <w:sz w:val="18"/>
        </w:rPr>
        <w:t xml:space="preserve">  (item 9.5.ii.e)</w:t>
      </w:r>
    </w:p>
    <w:p>
      <w:pPr>
        <w:pStyle w:val="ListBullet"/>
      </w:pPr>
      <w:r>
        <w:t>Cadastro Nacional de Empresas Punidas (CNEP)</w:t>
      </w:r>
      <w:r>
        <w:rPr>
          <w:i/>
          <w:color w:val="5A6070"/>
          <w:sz w:val="18"/>
        </w:rPr>
        <w:t xml:space="preserve">  (item 9.5.ii.f)</w:t>
      </w:r>
    </w:p>
    <w:p>
      <w:pPr>
        <w:pStyle w:val="ListBullet"/>
      </w:pPr>
      <w:r>
        <w:t>Cadastro de empregadores que tenham submetido trabalhadores a condições análogas à de escravo</w:t>
      </w:r>
      <w:r>
        <w:rPr>
          <w:i/>
          <w:color w:val="5A6070"/>
          <w:sz w:val="18"/>
        </w:rPr>
        <w:t xml:space="preserve">  (item 9.5.ii.g)</w:t>
      </w:r>
    </w:p>
    <w:p>
      <w:pPr>
        <w:pStyle w:val="ListBullet"/>
      </w:pPr>
      <w:r>
        <w:t>Print da tela "Consulta Obrigatoriedade do e-Social"</w:t>
      </w:r>
      <w:r>
        <w:rPr>
          <w:i/>
          <w:color w:val="5A6070"/>
          <w:sz w:val="18"/>
        </w:rPr>
        <w:t xml:space="preserve">  (item 9.5.ii.h)</w:t>
      </w:r>
    </w:p>
    <w:p>
      <w:pPr>
        <w:pStyle w:val="ListBullet"/>
      </w:pPr>
      <w:r>
        <w:t>Certidão falimentar negativa (ou de insolvência civil negativa)</w:t>
      </w:r>
      <w:r>
        <w:rPr>
          <w:i/>
          <w:color w:val="5A6070"/>
          <w:sz w:val="18"/>
        </w:rPr>
        <w:t xml:space="preserve">  (item 9.5.ii.i)</w:t>
      </w:r>
    </w:p>
    <w:p>
      <w:pPr>
        <w:pStyle w:val="ListBullet"/>
      </w:pPr>
      <w:r>
        <w:t>Declaração de ações coletivas (Anexo 3), assinada pelos representantes legais</w:t>
      </w:r>
      <w:r>
        <w:rPr>
          <w:i/>
          <w:color w:val="5A6070"/>
          <w:sz w:val="18"/>
        </w:rPr>
        <w:t xml:space="preserve">  (item 9.5.ii.j)</w:t>
      </w:r>
    </w:p>
    <w:p>
      <w:pPr>
        <w:pStyle w:val="ListBullet"/>
      </w:pPr>
      <w:r>
        <w:t>Declaração ambiental e outros aspectos regulatórios (Anexo 4), com licenças pertinentes</w:t>
      </w:r>
      <w:r>
        <w:rPr>
          <w:i/>
          <w:color w:val="5A6070"/>
          <w:sz w:val="18"/>
        </w:rPr>
        <w:t xml:space="preserve">  (item 9.5.ii.k)</w:t>
      </w:r>
    </w:p>
    <w:p>
      <w:pPr>
        <w:pStyle w:val="ListBullet"/>
      </w:pPr>
      <w:r>
        <w:t>Autorização societária para contratar financiamento / assumir obrigações, se for o caso</w:t>
      </w:r>
      <w:r>
        <w:rPr>
          <w:i/>
          <w:color w:val="5A6070"/>
          <w:sz w:val="18"/>
        </w:rPr>
        <w:t xml:space="preserve">  (item 9.5.ii.l)</w:t>
      </w:r>
    </w:p>
    <w:p>
      <w:pPr>
        <w:pStyle w:val="ListBullet"/>
      </w:pPr>
      <w:r>
        <w:t>Ato de eleição/nomeação dos administradores atuais, quando cabível</w:t>
      </w:r>
      <w:r>
        <w:rPr>
          <w:i/>
          <w:color w:val="5A6070"/>
          <w:sz w:val="18"/>
        </w:rPr>
        <w:t xml:space="preserve">  (item 9.5.ii.m)</w:t>
      </w:r>
    </w:p>
    <w:p>
      <w:pPr>
        <w:pStyle w:val="ListBullet"/>
      </w:pPr>
      <w:r>
        <w:t>Instrumento de procuração, caso a representação legal se dê dessa forma</w:t>
      </w:r>
      <w:r>
        <w:rPr>
          <w:i/>
          <w:color w:val="5A6070"/>
          <w:sz w:val="18"/>
        </w:rPr>
        <w:t xml:space="preserve">  (item 9.5.ii.n)</w:t>
      </w:r>
    </w:p>
    <w:p>
      <w:pPr>
        <w:pStyle w:val="ListBullet"/>
      </w:pPr>
      <w:r>
        <w:t>Vídeo ininterrupto de todas as instalações e demais elementos do projeto, para conferir a infraestrutura e equipe declaradas na proposta (distinto do vídeo de até 10 min enviado na submissão)</w:t>
      </w:r>
      <w:r>
        <w:rPr>
          <w:i/>
          <w:color w:val="5A6070"/>
          <w:sz w:val="18"/>
        </w:rPr>
        <w:t xml:space="preserve">  (item 9.2)</w:t>
      </w:r>
    </w:p>
    <w:p/>
    <w:p>
      <w:r>
        <w:rPr>
          <w:i/>
          <w:color w:val="5A6070"/>
          <w:sz w:val="17"/>
        </w:rPr>
        <w:t>Fonte: docs/finep-ref-digital/12_03_2026_TA_Regulamento.pdf e 12_03_2026_TA_A1-3.pdf (Anexo 1) (FINEP, Mais Inovação Tecnologias Digitais — Rodada 2). Gerado como checklist operacional interno; validado com o agente fundraiser antes e depois da construção. Prazo de submissão sujeito a prorrogação e o Regulamento pode mudar durante o fluxo contínuo (itens 6.4, 11.5) — revise o documento-fonte perto do envio.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