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Análise estática de estabilidade de tensão por </w:t>
      </w:r>
      <w:r>
        <w:rPr>
          <w:rFonts w:hint="default"/>
          <w:b/>
          <w:bCs/>
          <w:lang w:val="en-US"/>
        </w:rPr>
        <w:t>fluxo continuado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Parte de um ponto de operação conhecido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Parte de determinada </w:t>
      </w:r>
      <w:r>
        <w:rPr>
          <w:rFonts w:hint="default"/>
          <w:b w:val="0"/>
          <w:bCs w:val="0"/>
          <w:lang w:val="pt-BR"/>
        </w:rPr>
        <w:t>direção de</w:t>
      </w:r>
      <w:r>
        <w:rPr>
          <w:rFonts w:hint="default"/>
          <w:b w:val="0"/>
          <w:bCs w:val="0"/>
          <w:lang w:val="en-US"/>
        </w:rPr>
        <w:t xml:space="preserve"> crescimento de carga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Obtém-se o ponto de máximo carregamento do SEP e o traçado da curva PV.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Margem de estabilidade de tensão: proximidade do ponto de operação ao ponto de máximo carregamento.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estabilidade angular diz respeito ao sincronismo entre as máquinas de geração.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A estabilidade de tensão foi estabelecida como um conceito </w:t>
      </w:r>
      <w:r>
        <w:rPr>
          <w:rFonts w:hint="default"/>
          <w:b/>
          <w:bCs/>
          <w:lang w:val="en-US"/>
        </w:rPr>
        <w:t>estático</w:t>
      </w:r>
      <w:r>
        <w:rPr>
          <w:rFonts w:hint="default"/>
          <w:b w:val="0"/>
          <w:bCs w:val="0"/>
          <w:lang w:val="en-US"/>
        </w:rPr>
        <w:t xml:space="preserve">, obtida por análises em </w:t>
      </w:r>
      <w:r>
        <w:rPr>
          <w:rFonts w:hint="default"/>
          <w:b/>
          <w:bCs/>
          <w:lang w:val="en-US"/>
        </w:rPr>
        <w:t>regime permanente</w:t>
      </w:r>
      <w:r>
        <w:rPr>
          <w:rFonts w:hint="default"/>
          <w:b w:val="0"/>
          <w:bCs w:val="0"/>
          <w:lang w:val="en-US"/>
        </w:rPr>
        <w:t xml:space="preserve">. Um de seus principais aspectos é a capacidade de </w:t>
      </w:r>
      <w:r>
        <w:rPr>
          <w:rFonts w:hint="default"/>
          <w:b/>
          <w:bCs/>
          <w:lang w:val="en-US"/>
        </w:rPr>
        <w:t xml:space="preserve">transferência de potência reativa </w:t>
      </w:r>
      <w:r>
        <w:rPr>
          <w:rFonts w:hint="default"/>
          <w:b w:val="0"/>
          <w:bCs w:val="0"/>
          <w:lang w:val="en-US"/>
        </w:rPr>
        <w:t>de suas fontes de produção aos pontos de consumo durante condições operativas constantes.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A instabilidade de tensão ocorre pela </w:t>
      </w:r>
      <w:r>
        <w:rPr>
          <w:rFonts w:hint="default"/>
          <w:b/>
          <w:bCs/>
          <w:lang w:val="en-US"/>
        </w:rPr>
        <w:t>variação do parâmetro de carregamento do sistema</w:t>
      </w:r>
      <w:r>
        <w:rPr>
          <w:rFonts w:hint="default"/>
          <w:b w:val="0"/>
          <w:bCs w:val="0"/>
          <w:lang w:val="en-US"/>
        </w:rPr>
        <w:t xml:space="preserve">, relacionado ao </w:t>
      </w:r>
      <w:r>
        <w:rPr>
          <w:rFonts w:hint="default"/>
          <w:b/>
          <w:bCs/>
          <w:lang w:val="en-US"/>
        </w:rPr>
        <w:t>crescimento de carga</w:t>
      </w:r>
      <w:r>
        <w:rPr>
          <w:rFonts w:hint="default"/>
          <w:b w:val="0"/>
          <w:bCs w:val="0"/>
          <w:lang w:val="en-US"/>
        </w:rPr>
        <w:t>. Esse crescimento, se continuado, gera problema de fluxo de potência à singularidade da matriz Jacobiana.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segurança de um SEP quanto à estabilidade é avaliada pela Margem de Estabilidade/Segurança de Tensão (MET/MST) através da curva PV.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curva PV é determinada a partir de iterações de cálculo de fluxo de potência. A carga é incrementada a cada iteração no método Fluxo de Carga Continuado.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 conceito de estabilidade (IEEE/CIGRÉ) foi definido como a </w:t>
      </w:r>
      <w:r>
        <w:rPr>
          <w:rFonts w:hint="default"/>
          <w:b/>
          <w:bCs/>
          <w:lang w:val="en-US"/>
        </w:rPr>
        <w:t>capacidade de um sistema elétrico de potência, para uma determinada condição inicial de operação, atingir um estado de equilíbrio operacional depois de sofrer uma perturbação física</w:t>
      </w:r>
      <w:r>
        <w:rPr>
          <w:rFonts w:hint="default"/>
          <w:b w:val="0"/>
          <w:bCs w:val="0"/>
          <w:lang w:val="en-US"/>
        </w:rPr>
        <w:t>, com a maioria das variáveis do sistema limitadas de tal forma que praticamente todo o sistema permanece intacto.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Colapso de tensão</w:t>
      </w:r>
      <w:r>
        <w:rPr>
          <w:rFonts w:hint="default"/>
          <w:b w:val="0"/>
          <w:bCs w:val="0"/>
          <w:lang w:val="en-US"/>
        </w:rPr>
        <w:t>: sequência de eventos que acompanha a instabilidade de tensão que conduz ao blackout ou a um perfil de tensão anormalmente baixo em uma parte significativa do sistema.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hAnsi="DejaVu Math TeX Gyre"/>
          <w:b/>
          <w:bCs/>
          <w:i w:val="0"/>
          <w:color w:val="C00000"/>
          <w:lang w:val="en-US"/>
        </w:rPr>
      </w:pPr>
      <w:r>
        <w:rPr>
          <w:rFonts w:hint="default"/>
          <w:b/>
          <w:bCs/>
          <w:color w:val="C00000"/>
          <w:lang w:val="en-US"/>
        </w:rPr>
        <w:t xml:space="preserve">Em redes de transmissão de tensões superiores a 230kV a sensibilidade entre os fluxos de potência ativa e os ângulos de tensão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∂P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∂θ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e a sensibilidade entre os fluxos de potência reativa e as magnitudes de tensão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∂Q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∂V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são mais intensas que as sensibilidades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∂Q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∂θ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e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∂P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∂V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>.</w:t>
      </w:r>
    </w:p>
    <w:p>
      <w:pPr>
        <w:spacing w:line="360" w:lineRule="auto"/>
        <w:ind w:firstLine="720" w:firstLineChars="0"/>
        <w:jc w:val="both"/>
        <w:rPr>
          <w:rFonts w:hint="default" w:hAnsi="DejaVu Math TeX Gyre"/>
          <w:b/>
          <w:bCs/>
          <w:i w:val="0"/>
          <w:color w:val="C00000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TIPOS: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a grandes perturbações: capacidade de manter as tensões constantes após severos disturbios (curtos, perdas de geração)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a pequenas perturbações: capacidade de manter as tensões constantes após pequenas irregularidades (incremento de carga)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de curto prazo: abrange a dinâmica de componentes de ação rápida (MIT,cargas controladas eletronicamente e conversores CC).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de longo prazo: abrange a dinâmica dos equipamentos de ação mais lenta (trafos, cargas controladas termoestaticamente, limitadores de corrente). A instabilidade ocorre pela perda de equilíbrio a longo prazo.</w:t>
      </w: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MÉTODOS DE ANÁLISE: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 xml:space="preserve">- Análise dinâmica: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simulações no domínio do tempo para resolução de equações não lineares inerentes ao sistema. Requer grande esforço computacional, dificultando seu uso para análises de sistemas de grande porte.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 xml:space="preserve">- Análise quase-dinâmica: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simplificação da análise dinâmica para ganho computacional.Os mecanismos de dinâmica rápida são considerados estáveis e as equações algébricas restantes fornecem “instantâneos” do sistema em função do tempo.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- Análise estática: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 xml:space="preserve"> considera que as dinâmicas de tensão variam lentamente. Para cada ponto de equilíbrio as derivadas no tempo são zeradas e o conjunto de equações diferenciais da análise dinâmica se reduz a equações algébricas, permitindo o uso de técnicas de análise estática. Essa baseia-se na análise de potência ativa e potência reativa mediante o processamento sucessivo de fluxos de carga ou o cálculo direto do ponto de colapso de tensão.</w:t>
      </w:r>
    </w:p>
    <w:p>
      <w:pPr>
        <w:pBdr>
          <w:bottom w:val="single" w:color="auto" w:sz="4" w:space="0"/>
        </w:pBdr>
        <w:spacing w:line="360" w:lineRule="auto"/>
        <w:jc w:val="both"/>
        <w:rPr>
          <w:rFonts w:hint="default" w:hAnsi="DejaVu Math TeX Gyre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Cs w:val="0"/>
          <w:i w:val="0"/>
          <w:color w:val="auto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Cs w:val="0"/>
          <w:i w:val="0"/>
          <w:color w:val="auto"/>
          <w:lang w:val="en-US"/>
        </w:rPr>
        <w:t xml:space="preserve">A </w:t>
      </w:r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instabilidade de tensão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decorre da tentativa das cargas de restaurar o consumo de potência acima da capacidade conjunta dos sistemas de transmissão e geração.</w:t>
      </w:r>
    </w:p>
    <w:p>
      <w:pPr>
        <w:spacing w:line="360" w:lineRule="auto"/>
        <w:ind w:firstLine="720" w:firstLineChars="0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>Para um fator de potência constante, a potência consumida pela carga é maximizada quando a amplitude da sua impedância se iguala à amplitude da impedância de transmissão do sistema.</w:t>
      </w:r>
    </w:p>
    <w:p>
      <w:pPr>
        <w:pBdr>
          <w:bottom w:val="single" w:color="auto" w:sz="4" w:space="0"/>
        </w:pBdr>
        <w:spacing w:line="360" w:lineRule="auto"/>
        <w:ind w:firstLine="720" w:firstLineChars="0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 xml:space="preserve">A capacidade de máxima transferência de potência independe do comportamento da carga com a tensão, mas vincula-se ao seu </w:t>
      </w:r>
      <w:r>
        <w:rPr>
          <w:rFonts w:hint="default" w:hAnsi="DejaVu Math TeX Gyre"/>
          <w:b/>
          <w:bCs/>
          <w:i w:val="0"/>
          <w:color w:val="auto"/>
          <w:lang w:val="pt-BR"/>
        </w:rPr>
        <w:t>fator de potência</w:t>
      </w: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 xml:space="preserve"> e demais parâmetros do sistema (E e X). Quanto mais capacitivo for o </w:t>
      </w:r>
      <w:r>
        <w:rPr>
          <w:rFonts w:hint="default" w:hAnsi="DejaVu Math TeX Gyre"/>
          <w:b/>
          <w:bCs/>
          <w:i w:val="0"/>
          <w:color w:val="auto"/>
          <w:lang w:val="pt-BR"/>
        </w:rPr>
        <w:t>fator de potência</w:t>
      </w: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 xml:space="preserve">, maior é a máxima transferência de potência permitida. Uma carga extremamente capacitiva pode conduzir o sistema à instabilidade associada à </w:t>
      </w:r>
      <w:r>
        <w:rPr>
          <w:rFonts w:hint="default" w:hAnsi="DejaVu Math TeX Gyre"/>
          <w:b/>
          <w:bCs/>
          <w:i w:val="0"/>
          <w:color w:val="auto"/>
          <w:lang w:val="pt-BR"/>
        </w:rPr>
        <w:t xml:space="preserve">sobretensão. 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ab/>
        <w:t>A máxima transferência de potência pode ainda ser definida através de equações de fluxo de potência/carga e cálculo posterior da solução através do par (P, Q).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ab/>
        <w:t xml:space="preserve">A </w:t>
      </w:r>
      <w:r>
        <w:rPr>
          <w:rFonts w:hint="default" w:hAnsi="DejaVu Math TeX Gyre"/>
          <w:b/>
          <w:bCs/>
          <w:i w:val="0"/>
          <w:color w:val="auto"/>
          <w:lang w:val="pt-BR"/>
        </w:rPr>
        <w:t xml:space="preserve">estabilidade de tensão depende de P, Q e V. </w:t>
      </w: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>A relação entre P e V permite comparar a resposta do sistema para o crescimento da demanda de potência ativa com a característica da carga em função da tensão, a qual interpreta papel  principal no mecanismo de instabilidade de tensão.</w:t>
      </w:r>
    </w:p>
    <w:p>
      <w:pPr>
        <w:pBdr>
          <w:bottom w:val="single" w:color="auto" w:sz="4" w:space="0"/>
        </w:pBd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ab/>
        <w:t>A utilidade da curva PV está em mostrar o comportamento da tensão com a variação da potência ativa demandada e a ponta da curva permite identificar o ponto de máxima transferência de potência do sistema.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</w:p>
    <w:p>
      <w:pPr>
        <w:pBdr>
          <w:bottom w:val="single" w:color="auto" w:sz="4" w:space="0"/>
        </w:pBd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ab/>
        <w:t>A relação comportamental entre a carga e a tensão não altera a capacidade de máxima transferência de potência. Esse comportamento, entretanto, influencia na instabilidade e tensão.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pt-BR"/>
        </w:rPr>
      </w:pPr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ab/>
        <w:t>O modelo de cargas em potência constante é mais restritivo operativamente e possibilita a correspondência entre transferência de potência e estabilidade de tensão, amplamente utilizado em an</w:t>
      </w:r>
      <w:bookmarkStart w:id="0" w:name="_GoBack"/>
      <w:bookmarkEnd w:id="0"/>
      <w:r>
        <w:rPr>
          <w:rFonts w:hint="default" w:hAnsi="DejaVu Math TeX Gyre"/>
          <w:b w:val="0"/>
          <w:bCs w:val="0"/>
          <w:i w:val="0"/>
          <w:color w:val="auto"/>
          <w:lang w:val="pt-BR"/>
        </w:rPr>
        <w:t>álises estáticas.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altName w:val="Cambria Math"/>
    <w:panose1 w:val="02000503000000000000"/>
    <w:charset w:val="00"/>
    <w:family w:val="auto"/>
    <w:pitch w:val="default"/>
    <w:sig w:usb0="00000000" w:usb1="00000000" w:usb2="02000008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B1B9E"/>
    <w:rsid w:val="16663CFB"/>
    <w:rsid w:val="33C073FF"/>
    <w:rsid w:val="5DFDB971"/>
    <w:rsid w:val="74C257D9"/>
    <w:rsid w:val="77FFCF95"/>
    <w:rsid w:val="79DF06BD"/>
    <w:rsid w:val="7A7465FA"/>
    <w:rsid w:val="7E7FA0F5"/>
    <w:rsid w:val="87EEF415"/>
    <w:rsid w:val="BFF41FC4"/>
    <w:rsid w:val="DA7B1B9E"/>
    <w:rsid w:val="ECDF38D3"/>
    <w:rsid w:val="EFB723E7"/>
    <w:rsid w:val="F7FCF8DD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2023-04-03T10:33:00Z</dcterms:created>
  <dc:creator>luizsousa</dc:creator>
  <cp:lastModifiedBy>Luiz Eduardo Oliveira de Sousa</cp:lastModifiedBy>
  <dcterms:modified xsi:type="dcterms:W3CDTF">2023-04-06T17:47:59Z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1CB83A8D69E448F08CF7C1DD9E6D8376</vt:lpwstr>
  </property>
</Properties>
</file>