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ThinkinOS v2.0 — Protocolo de Arquitetura do Sistema</w:t>
      </w:r>
    </w:p>
    <w:p>
      <w:pPr>
        <w:pStyle w:val="Normal"/>
        <w:bidi w:val="0"/>
        <w:jc w:val="start"/>
        <w:rPr/>
      </w:pPr>
      <w:r>
        <w:rPr/>
        <w:t>## Kernel Customization &amp; Runtime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 Considerações Preliminares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abordagem descrita neste protocolo é tecnicamente utilizável e corresponde à metodologia industrial padrão para a criação de distribuições de nicho, tais como *kiosks*, dispositivos de Internet das Coisas (IoT) e sistemas embarcados. Entretanto, no contexto específico do ThinkinOS, não basta realizar o simples empacotamento de componentes: é imperioso garantir coesão, segurança e isolamento estrito entre o Kernel e o Runtime Nativo. É precisamente essa exigência que fundamenta o blueprint técnico apresentado nas seções seguintes.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 Camada do Kernel — Infraestrutura 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primeira diretriz orienta-se pelos princípios de minimalismo e segurança. Descarta-se, desde logo, a criação de um kernel integralmente original, medida considerada impraticável em termos de custo, prazo e manutenção. A recomendação consiste em customizar um Kernel Linux Mainline ou LTS (*Long Term Support*), aproveitando a maturidade do ecossistema sem abdicar do controle sobre os componentes efetivamente embarcados.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que se refere à seleção da base, recomenda-se o uso de Debian Base ou Alpine Linux como *userspace* inicial, em razão da estabilidade reconhecida e da robustez de seus repositórios. Quando o objetivo for um isolamento de segurança mais rigoroso, mostra-se adequado recorrer ao Yocto Project ou ao Buildroot, ferramentas que permitem compilar um *rootfs* minimalista desde a origem, incluindo exclusivamente os drivers indispensáveis ao hardware-alvo.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Quanto às otimizações do kernel, três providências destacam-se. A primeira é a ativação de `CONFIG_STRICT_KERNEL_RWX`, voltada à proteção da memória do kernel. A segunda é a ativação de `CONFIG_SECURITY_YAMA`, que impõe modelos de credencial mais restritos. A terceira consiste em compilar drivers específicos — notadamente os de GPU e de entrada — como módulos carregados sob demanda (`.ko`), o que reduz significativamente a superfície de ataque exposta em tempo de execução.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tocante ao gerenciamento de inicialização, recomenda-se descartar o `systemd` quando a finalidade for a extrema leveza, adotando-se o OpenRC ou um *init* customizado escrito em Rust ou C. Adicionalmente, deve-se configurar o `initramfs` para montar sistemas de arquivos em memória ou em modo somente leitura, por meio de `overlayfs`, prevenindo assim a corrupção de dados em sistemas de armazenamento flash.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 Remoção de Dependências Tradicionais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segunda diretriz tem por objetivo eliminar vetores de ataque clássicos, historicamente associados ao servidor gráfico X11 e a navegadores Web configurados sem isolamento adequado. Nesse sentido, determina-se a remoção do X11 e sua substituição pelo Wayland ou por servidores gráficos mais seguros e modernos. Paralelamente, os navegadores Web devem operar com *sandboxing* rigoroso e atualização constante, além de políticas de segurança estritas, como a *Content Security Policy* (CSP). Completa esse conjunto a implementação de autenticação forte, o monitoramento contínuo de atividades suspeitas e a manutenção permanente do sistema operacional e de todos os softwares em versões atualizadas, de modo a corrigir vulnerabilidades conhecidas.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 Análise Técnica — Vantagens e Desvantagens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Cumpre, agora, avaliar as consequências da adoção dessa arquitetura. A transição de X11 para Wayland, combinada ao *hardening* de navegadores e a políticas de segurança rigorosas, altera de maneira fundamental a arquitetura de segurança do sistema, produzindo ganhos expressivos e, simultaneamente, desafios relevantes.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4.1. Vantagens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primeiro ganho refere-se ao isolamento de memória e à prevenção de espionagem de tela. Diferentemente do X11, no qual qualquer processo pode capturar a tela de outros aplicativos por meio de recursos como `XGrabScreen` ou `xwd`, o Wayland isola estritamente os *buffers* gráficos de cada cliente, de modo que o servidor gráfico não expõe o conteúdo da memória de uma aplicação a outra. O impacto é substancial: eliminam-se vetores de *keylogging* visual, de captura de senhas por *malware* residente e de vazamento de dados sensíveis mediante acesso indevido à memória gráfica.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segundo ganho diz respeito à redução da superfície de ataque no navegador. A adoção de *sandboxing* rigoroso aliada a CSP estritas previne ataques de *Cross-Site Scripting* (XSS) e de *Clickjacking*. Assim, ainda que uma página maliciosa explore alguma vulnerabilidade do navegador, a quebra do *sandbox* torna-se significativamente mais difícil, o que contém o dano ao processo do próprio navegador e impede sua propagação vertical para o restante do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terceiro ganho consiste na menor dependência de privilégios globais. O modelo de segurança do Wayland não exige `sudo` ou `root` para configurações básicas de exibição, o que reduz a necessidade de executar componentes gráficos com privilégios elevados desnecessários.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fim, registra-se a conformidade com padrões modernos de segurança, notadamente os princípios de *Zero Trust*. A implementação de autenticação forte, integrada ao monitoramento de atividades, cria um ambiente de auditoria em tempo real, assegurando que cada sessão gráfica seja auditável e que tentativas de acesso não autorizado sejam registradas e bloqueadas imediatamente — não apenas pela interface, mas pelo próprio núcleo do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4.2. Desvantagens e Desafios Técnicos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 contrapartida, a adoção dessa arquitetura impõe dificuldades que não podem ser ignoradas. A primeira delas é a complexidade de compatibilidade legada. Aplicações desenvolvidas exclusivamente para o protocolo X11 não funcionam nativamente sob Wayland; embora ferramentas como o *Xwayland* permitam executá-las, elas atuam como um contêiner X11 dentro do Wayland, o que pode reintroduzir vulnerabilidades quando mal configuradas, sobretudo em razão do isolamento imperfeito entre clientes Xwayland e Wayland. No ThinkinOS, isso exige uma camada de abstração robusta, capaz de gerenciar exceções sem comprometer a integridade geral da pilha gráfica.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segunda dificuldade reside na gestão de *widgets* globais e de sobreposições. No X11, tais elementos — como editores de método de entrada (IME) e gerenciadores de janelas com visibilidade cruzada — são nativos; no Wayland, são restritos por decisão de projeto. Soluções baseadas em extensões de protocolo, como o `xdg-portal` para seleção de arquivos e captura de tela, elevam a complexidade de desenvolvimento. Como consequência, desenvolvedores terceiros precisarão adaptar seus aplicativos para APIs baseadas em Portal, o que tende a gerar resistência inicial e falhas de integração.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terceira dificuldade refere-se ao *overhead* gerencial e à curva de aprendizado. A configuração granular de *sandboxes* e de políticas CSP exige ajuste inicial complexo, e erros nesse processo podem produzir tanto falsos positivos, com o bloqueio de funcionalidades legítimas, quanto falsos negativos, com a permanência de brechas de segurança. Além disso, o uso intensivo de *sandboxing*, especialmente com soluções como Firejail ou *sandboxes* Flatpak integrados ao compositor, tende a elevar o consumo de memória RAM e a sobrecarga de CPU, pois cada processo isolado demanda *namespaces* adicionais, listas de controle de acesso mais complexas e, com frequência, a duplicação de recursos do sistema. Em máquinas com 4 GB de RAM ou menos, essa abstração pode resultar em latência visível na inicialização de aplicações e na resposta do compositor, em fragmentação de memória e em maior dificuldade de depuração, já que atravessar camadas de *sandbox* torna a investigação de falhas de renderização e de vazamentos de memória sensivelmente mais complexa.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Conclui-se, portanto, que, embora a segurança do Wayland seja superior à do X11 em diversos aspectos, a arquitetura deve ser dimensionada com critério, de modo a equilibrar isolamento e desempenho e a evitar soluções excessivamente verbosas, como o Firejail em larga escala, para aplicações de uso cotidiano.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 Desenvolvimento Paralelo e Preservação do Sistema Atual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Diante desse conjunto de diretrizes, coloca-se a questão de saber se é possível implementá-las de maneira paralela, sem afetar o sistema atual do ThinkinOS e mantendo-o permanentemente preservado. A resposta é afirmativa: a solicitação é tecnicamente viável e corresponde, aliás, à estratégia padrão do desenvolvimento de software profissional, que consiste em separar o ambiente de desenvolvimento do ambiente de produção. Para assegurar a integridade do ThinkinOS v2.0, atualmente baseado em Web, enquanto se desenvolve o ThinkinOS Native, não é necessário — nem recomendável — alterar o sistema hospedeiro. A abordagem correta consiste em recorrer à virtualização e à conteinerização, criando um ambiente isolado de cultivo.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primeira camada desse isolamento é a virtualização de hardware, implementada por meio de um *hypervisor* como KVM/QEMU, VirtualBox ou VMware, conforme as características do hospedeiro. Seu propósito é criar uma máquina virtual dedicada exclusivamente ao desenvolvimento do ThinkinOS Native. A vantagem é evidente: tanto o kernel em desenvolvimento quanto o *rootfs* existem apenas como arquivos virtuais, nos formatos `.qcow2` ou `.img`. Em caso de travamento ou corrupção, a máquina virtual é reiniciada de forma isolada, permanecendo o sistema hospedeiro integralmente intacto.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segunda camada é a construção do kernel por compilação cruzada, realizada em contêiner Docker ou Podman. O objetivo é compilar o kernel customizado sem contaminar o ambiente do hospedeiro com dependências de compilação, tais como GCC, Make e *headers*. O procedimento compreende criar um contêiner com *busybox* ou Alpine minimalista, instalar apenas as ferramentas de compilação essenciais, mapear o diretório do código-fonte por meio de volume e executar o `make` no interior do contêiner. Em seguida, o binário resultante é extraído, tem suas permissões de execução verificadas — conforme a política de segurança adotada — e é transferido ao ambiente de teste.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etapa seguinte consiste em atualizar o arquivo de configuração do *bootloader*, como `grub.cfg` ou `extlinux.conf`, para apontar à imagem do novo kernel e ao `initramfs` correspondente. Procede-se, então, à validação: reinicia-se o ambiente de teste, seleciona-se a nova entrada no menu de inicialização e verifica-se se o sistema conclui o *boot* com êxito, valendo-se de `journalctl -k` ou `dmesg` para a leitura dos registros. Por fim, e de forma opcional, executa-se `make clean` ou `make mrproper` no interior do contêiner, a fim de remover artefatos temporários e preservar espaço de armazenamento.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 Considerações Finais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implementação das diretivas aqui descritas é tecnicamente viável e encontra-se alinhada às melhores práticas de engenharia de sistemas. Recomenda-se que sua execução ocorra em ambiente isolado, conforme detalhado na seção anterior, de modo a garantir a preservação integral do ThinkinOS v2.0 em operação. Uma vez aprovado o presente protocolo, coloca-se à disposição o detalhamento das etapas específicas, tais como a configuração do `Dockerfile` e a elaboração do *script* de extração de binários.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**Núcleo Central ThinkinIA**</w:t>
      </w:r>
    </w:p>
    <w:p>
      <w:pPr>
        <w:pStyle w:val="Normal"/>
        <w:bidi w:val="0"/>
        <w:jc w:val="start"/>
        <w:rPr/>
      </w:pPr>
      <w:r>
        <w:rPr/>
        <w:t>ThinkinOS v2.0 — Protocolo de Arquitetura do Sistema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Caso deseje, posso ainda: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**Ampliar ou reduzir** o texto, ajustando-o a um limite de páginas ou de palavras;</w:t>
      </w:r>
    </w:p>
    <w:p>
      <w:pPr>
        <w:pStyle w:val="Normal"/>
        <w:bidi w:val="0"/>
        <w:jc w:val="start"/>
        <w:rPr/>
      </w:pPr>
      <w:r>
        <w:rPr/>
        <w:t>2. **Elevar o registro** para um tom mais institucional ou jurídico;</w:t>
      </w:r>
    </w:p>
    <w:p>
      <w:pPr>
        <w:pStyle w:val="Normal"/>
        <w:bidi w:val="0"/>
        <w:jc w:val="start"/>
        <w:rPr/>
      </w:pPr>
      <w:r>
        <w:rPr/>
        <w:t>3. **Converter em HTML/CSS**, com aparência de página de site.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Basta indicar qual ajuste prefere.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1692</Words>
  <Characters>9911</Characters>
  <CharactersWithSpaces>11577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2026-09-14T14:30:03Z</dcterms:created>
  <dc:creator/>
  <dc:description/>
  <dc:language>pt-BR</dc:language>
  <cp:lastModifiedBy/>
  <dcterms:modified xsi:type="dcterms:W3CDTF">2026-09-14T14:33:03Z</dcterms:modified>
  <cp:revision>1</cp:revision>
  <dc:subject/>
  <dc:title/>
</cp:coreProperties>
</file>