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dentro da pasta contendo o CODIGO CORDIC devem ser criadas 2 subpastas: “testbenches” e “tabelasTeste”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devem ser exatamente estes 2 nomes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Dentro da pasta testbenches serão colocados o codigo para GERADOR TABELAS2 e as pastas contendo o código para cada tipo de simulação de calculo.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ESTRUTURA DAS PASTAS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&lt;Pasta com codigo CORDIC&gt;  ______   testbenches _____ SUBPASTAS DE SIMULAÇÃO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|___  tabelasTeste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