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Lu Jiang</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Lu Jiang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(RAG) are selected and validated using aggregate statistics of the retrieved set: the proportion of passages about each protected group, the deviation of a group's stance from a corpus reference, or the exposure of items across repeated requests. Every such statistic has the same form — a per-group quantity aggregated across groups — and we show that an adversary who knows this can defeat the aggregation in exactly </w:t>
      </w:r>
      <w:r>
        <w:rPr>
          <w:rFonts w:ascii="Times New Roman" w:hAnsi="Times New Roman" w:eastAsia="SimSun"/>
          <w:b/>
          <w:sz w:val="22"/>
        </w:rPr>
        <w:t>three ways</w:t>
      </w:r>
      <w:r>
        <w:rPr>
          <w:rFonts w:ascii="Times New Roman" w:hAnsi="Times New Roman" w:eastAsia="SimSun"/>
          <w:sz w:val="22"/>
        </w:rPr>
        <w:t>, which together explain why the defenses built on these statistics fail:</w:t>
      </w:r>
    </w:p>
    <w:p>
      <w:pPr>
        <w:pStyle w:val="ListBullet"/>
        <w:spacing w:line="360" w:lineRule="auto"/>
      </w:pPr>
      <w:r>
        <w:rPr>
          <w:rFonts w:ascii="Times New Roman" w:hAnsi="Times New Roman" w:eastAsia="SimSun"/>
          <w:b/>
          <w:sz w:val="22"/>
        </w:rPr>
        <w:t>F1, balanced count.</w:t>
      </w:r>
      <w:r>
        <w:rPr>
          <w:rFonts w:ascii="Times New Roman" w:hAnsi="Times New Roman" w:eastAsia="SimSun"/>
          <w:sz w:val="22"/>
        </w:rPr>
        <w:t xml:space="preserve"> The injection contributes equally to every group, so any statistic over group counts returns its clean value.</w:t>
      </w:r>
    </w:p>
    <w:p>
      <w:pPr>
        <w:pStyle w:val="ListBullet"/>
        <w:spacing w:line="360" w:lineRule="auto"/>
      </w:pPr>
      <w:r>
        <w:rPr>
          <w:rFonts w:ascii="Times New Roman" w:hAnsi="Times New Roman" w:eastAsia="SimSun"/>
          <w:b/>
          <w:sz w:val="22"/>
        </w:rPr>
        <w:t>F2, preserved nuisance.</w:t>
      </w:r>
      <w:r>
        <w:rPr>
          <w:rFonts w:ascii="Times New Roman" w:hAnsi="Times New Roman" w:eastAsia="SimSun"/>
          <w:sz w:val="22"/>
        </w:rPr>
        <w:t xml:space="preserve"> The statistic is anchored to a reference the attack does not change, so it reports the component that varies with the query rather than the one that varies with the attack.</w:t>
      </w:r>
    </w:p>
    <w:p>
      <w:pPr>
        <w:pStyle w:val="ListBullet"/>
        <w:spacing w:line="360" w:lineRule="auto"/>
      </w:pPr>
      <w:r>
        <w:rPr>
          <w:rFonts w:ascii="Times New Roman" w:hAnsi="Times New Roman" w:eastAsia="SimSun"/>
          <w:b/>
          <w:sz w:val="22"/>
        </w:rPr>
        <w:t>F3, cancelled shift.</w:t>
      </w:r>
      <w:r>
        <w:rPr>
          <w:rFonts w:ascii="Times New Roman" w:hAnsi="Times New Roman" w:eastAsia="SimSun"/>
          <w:sz w:val="22"/>
        </w:rPr>
        <w:t xml:space="preserve"> The attack moves all groups together, so any difference between groups is unchanged however far the groups move.</w:t>
      </w:r>
    </w:p>
    <w:p>
      <w:r>
        <w:rPr>
          <w:rFonts w:ascii="Times New Roman" w:hAnsi="Times New Roman" w:eastAsia="SimSun"/>
          <w:sz w:val="22"/>
        </w:rPr>
        <w:t xml:space="preserve">The three modes are not a description but a </w:t>
      </w:r>
      <w:r>
        <w:rPr>
          <w:rFonts w:ascii="Times New Roman" w:hAnsi="Times New Roman" w:eastAsia="SimSun"/>
          <w:b/>
          <w:sz w:val="22"/>
        </w:rPr>
        <w:t>test</w:t>
      </w:r>
      <w:r>
        <w:rPr>
          <w:rFonts w:ascii="Times New Roman" w:hAnsi="Times New Roman" w:eastAsia="SimSun"/>
          <w:sz w:val="22"/>
        </w:rPr>
        <w:t xml:space="preserve">: each can be checked against a candidate statistic before any attack is built, and we use them to predict which existing metrics will be blind. To separate </w:t>
      </w:r>
      <w:r>
        <w:rPr>
          <w:rFonts w:ascii="Times New Roman" w:hAnsi="Times New Roman" w:eastAsia="SimSun"/>
          <w:i/>
          <w:sz w:val="22"/>
        </w:rPr>
        <w:t>blind to this adversary</w:t>
      </w:r>
      <w:r>
        <w:rPr>
          <w:rFonts w:ascii="Times New Roman" w:hAnsi="Times New Roman" w:eastAsia="SimSun"/>
          <w:sz w:val="22"/>
        </w:rPr>
        <w:t xml:space="preserve"> from </w:t>
      </w:r>
      <w:r>
        <w:rPr>
          <w:rFonts w:ascii="Times New Roman" w:hAnsi="Times New Roman" w:eastAsia="SimSun"/>
          <w:i/>
          <w:sz w:val="22"/>
        </w:rPr>
        <w:t>broken instrument</w:t>
      </w:r>
      <w:r>
        <w:rPr>
          <w:rFonts w:ascii="Times New Roman" w:hAnsi="Times New Roman" w:eastAsia="SimSun"/>
          <w:sz w:val="22"/>
        </w:rPr>
        <w:t>, we add a positive control in which the ground truth changes by a known amount and the same statistics must respond: they do, monotonically and in the right direction.</w:t>
      </w:r>
    </w:p>
    <w:p>
      <w:r>
        <w:rPr>
          <w:rFonts w:ascii="Times New Roman" w:hAnsi="Times New Roman" w:eastAsia="SimSun"/>
          <w:sz w:val="22"/>
        </w:rPr>
        <w:t xml:space="preserve">The attack is </w:t>
      </w:r>
      <w:r>
        <w:rPr>
          <w:rFonts w:ascii="Times New Roman" w:hAnsi="Times New Roman" w:eastAsia="SimSun"/>
          <w:i/>
          <w:sz w:val="22"/>
        </w:rPr>
        <w:t>pairwise poisoning</w:t>
      </w:r>
      <w:r>
        <w:rPr>
          <w:rFonts w:ascii="Times New Roman" w:hAnsi="Times New Roman" w:eastAsia="SimSun"/>
          <w:sz w:val="22"/>
        </w:rPr>
        <w:t xml:space="preserve">: injected passages reuse the legitimate template inventory and differ only in which group they favour. Because the injection is balanced across groups by construction, it leaves every group-composition statistic clean while skewing the stance of the evidence. We formalise this as two orthogonal dimensions —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 and show that the blindness is not an accident of any one metric:</w:t>
      </w:r>
    </w:p>
    <w:p>
      <w:pPr>
        <w:pStyle w:val="ListNumber"/>
        <w:spacing w:line="360" w:lineRule="auto"/>
      </w:pPr>
      <w:r>
        <w:rPr>
          <w:rFonts w:ascii="Times New Roman" w:hAnsi="Times New Roman" w:eastAsia="SimSun"/>
          <w:b/>
          <w:sz w:val="22"/>
        </w:rPr>
        <w:t>Composition statistics do not move.</w:t>
      </w:r>
      <w:r>
        <w:rPr>
          <w:rFonts w:ascii="Times New Roman" w:hAnsi="Times New Roman" w:eastAsia="SimSun"/>
          <w:sz w:val="22"/>
        </w:rPr>
        <w:t xml:space="preserve"> R1 drift stays at or below the level legitimate retrieval variance produces, on both a controlled corpus and a naturally written bias benchmark.</w:t>
      </w:r>
    </w:p>
    <w:p>
      <w:pPr>
        <w:pStyle w:val="ListNumber"/>
        <w:spacing w:line="360" w:lineRule="auto"/>
      </w:pPr>
      <w:r>
        <w:rPr>
          <w:rFonts w:ascii="Times New Roman" w:hAnsi="Times New Roman" w:eastAsia="SimSun"/>
          <w:b/>
          <w:sz w:val="22"/>
        </w:rPr>
        <w:t>Two natural R2 statistics are also blind.</w:t>
      </w:r>
      <w:r>
        <w:rPr>
          <w:rFonts w:ascii="Times New Roman" w:hAnsi="Times New Roman" w:eastAsia="SimSun"/>
          <w:sz w:val="22"/>
        </w:rPr>
        <w:t xml:space="preserve"> Deviation of stance from a corpus reference (0.286 → 0.311) and one-sidedness of stance (0.467 → 0.500) are flat across the clean and fully attacked conditions, because a group-neutral query legitimately retrieves one-sided evidence, so both measure topic conditioning rather than group skew — a component the attack preserves. The statistic that responds is the cross-group stance gap.</w:t>
      </w:r>
    </w:p>
    <w:p>
      <w:pPr>
        <w:pStyle w:val="ListNumber"/>
        <w:spacing w:line="360" w:lineRule="auto"/>
      </w:pPr>
      <w:r>
        <w:rPr>
          <w:rFonts w:ascii="Times New Roman" w:hAnsi="Times New Roman" w:eastAsia="SimSun"/>
          <w:b/>
          <w:sz w:val="22"/>
        </w:rPr>
        <w:t>The right axis is the per-group shift, not the gap between groups — and we initially got this wrong ourselves.</w:t>
      </w:r>
      <w:r>
        <w:rPr>
          <w:rFonts w:ascii="Times New Roman" w:hAnsi="Times New Roman" w:eastAsia="SimSun"/>
          <w:sz w:val="22"/>
        </w:rPr>
        <w:t xml:space="preserve"> Every metric above is an absolute difference between groups. Because the corpus carries a pre-existing asymmetry and the attack </w:t>
      </w:r>
      <w:r>
        <w:rPr>
          <w:rFonts w:ascii="Times New Roman" w:hAnsi="Times New Roman" w:eastAsia="SimSun"/>
          <w:i/>
          <w:sz w:val="22"/>
        </w:rPr>
        <w:t>relocates both groups</w:t>
      </w:r>
      <w:r>
        <w:rPr>
          <w:rFonts w:ascii="Times New Roman" w:hAnsi="Times New Roman" w:eastAsia="SimSun"/>
          <w:sz w:val="22"/>
        </w:rPr>
        <w:t xml:space="preserve"> rather than opening a gap between them, an absolute difference discards the signal. Measured per group on our controlled corpus, injection moves the suppressed group's stance by −0.13 to −0.18 and the favoured group's by +0.13, consistently across </w:t>
      </w:r>
      <w:r>
        <w:rPr>
          <w:rFonts w:ascii="Times New Roman" w:hAnsi="Times New Roman" w:eastAsia="SimSun"/>
          <w:b/>
          <w:sz w:val="22"/>
        </w:rPr>
        <w:t>four generators spanning three model families</w:t>
      </w:r>
      <w:r>
        <w:rPr>
          <w:rFonts w:ascii="Times New Roman" w:hAnsi="Times New Roman" w:eastAsia="SimSun"/>
          <w:sz w:val="22"/>
        </w:rPr>
        <w:t xml:space="preserve"> — API-served Qwen and DeepSeek models plus an open-weight Mistral-7B run locally — at $p \le 0.0035$ in all six per-group comparisons; the absolute gap moves by less than 0.002 for three of the four. We reproduced, one level up, the exact error we identify at the retrieval layer. </w:t>
      </w:r>
      <w:r>
        <w:rPr>
          <w:rFonts w:ascii="Times New Roman" w:hAnsi="Times New Roman" w:eastAsia="SimSun"/>
          <w:b/>
          <w:sz w:val="22"/>
        </w:rPr>
        <w:t>On a naturally written corpus the same effect is present, but only a probe that forces a commitment can see it.</w:t>
      </w:r>
      <w:r>
        <w:rPr>
          <w:rFonts w:ascii="Times New Roman" w:hAnsi="Times New Roman" w:eastAsia="SimSun"/>
          <w:sz w:val="22"/>
        </w:rPr>
        <w:t xml:space="preserve"> The free-form measurement returns nothing on the full BBQ benchmark, and the reason is the instrument rather than the phenomenon: 99.0% of the answers it scores take no position at all (mean commitment 0.007 against 0.156 on the controlled corpus), so no effect of any size could appear in it. Replacing it with a forced-choice probe on identical retrieval conditions detects the effect — five per-group shifts at $p &lt; 0.05$ for one generator, the largest at $+0.63$ — and shows that it is </w:t>
      </w:r>
      <w:r>
        <w:rPr>
          <w:rFonts w:ascii="Times New Roman" w:hAnsi="Times New Roman" w:eastAsia="SimSun"/>
          <w:b/>
          <w:sz w:val="22"/>
        </w:rPr>
        <w:t>group-specific and generator-dependent</w:t>
      </w:r>
      <w:r>
        <w:rPr>
          <w:rFonts w:ascii="Times New Roman" w:hAnsi="Times New Roman" w:eastAsia="SimSun"/>
          <w:sz w:val="22"/>
        </w:rPr>
        <w:t>, which is why reporting a single averaged gap understated it. This free-form probe is the third instrument failure the paper documents.</w:t>
      </w:r>
    </w:p>
    <w:p>
      <w:r>
        <w:rPr>
          <w:rFonts w:ascii="Times New Roman" w:hAnsi="Times New Roman" w:eastAsia="SimSun"/>
          <w:sz w:val="22"/>
        </w:rPr>
        <w:t xml:space="preserve">The practical consequence is a </w:t>
      </w:r>
      <w:r>
        <w:rPr>
          <w:rFonts w:ascii="Times New Roman" w:hAnsi="Times New Roman" w:eastAsia="SimSun"/>
          <w:b/>
          <w:sz w:val="22"/>
        </w:rPr>
        <w:t>negative result about a class of defenses</w:t>
      </w:r>
      <w:r>
        <w:rPr>
          <w:rFonts w:ascii="Times New Roman" w:hAnsi="Times New Roman" w:eastAsia="SimSun"/>
          <w:sz w:val="22"/>
        </w:rPr>
        <w:t xml:space="preserve">, which we prove rather than only measure. A distribution-constrained defense faces a trilemma: it cannot simultaneously exclude adversarial passages, admit good clean selections, and impose a non-vacuous constraint. Empirically the R1 constraint is not weak but </w:t>
      </w:r>
      <w:r>
        <w:rPr>
          <w:rFonts w:ascii="Times New Roman" w:hAnsi="Times New Roman" w:eastAsia="SimSun"/>
          <w:b/>
          <w:sz w:val="22"/>
        </w:rPr>
        <w:t>inert</w:t>
      </w:r>
      <w:r>
        <w:rPr>
          <w:rFonts w:ascii="Times New Roman" w:hAnsi="Times New Roman" w:eastAsia="SimSun"/>
          <w:sz w:val="22"/>
        </w:rPr>
        <w:t xml:space="preserve"> — and the reason is a ceiling, not a sample-size problem. The unconstrained baseline already admits adversarial passages on every query where it can (1.000 for a dense retriever, 0.750 for BM25), so there is no headroom for a reduction to appear even in principle; the per-query difference is identically zero, giving an equivalence bound of exactly ±0.0000. This is not because the constraint fails to change the selection — it does change it, moving the R2 stance gap from 0.7436 to 0.5385 — but because different passages are selected and not one adversarial passage is displaced. We reach the same conclusion across six retrieval back-ends, two corpora, five injection rates and the full budget sweep, with $|\mathcal{G}| = 2$ throughout.</w:t>
      </w:r>
    </w:p>
    <w:p>
      <w:r>
        <w:rPr>
          <w:rFonts w:ascii="Times New Roman" w:hAnsi="Times New Roman" w:eastAsia="SimSun"/>
          <w:sz w:val="22"/>
        </w:rPr>
        <w:t xml:space="preserve">Two further measurement hazards follow from taking the encoder seriously as a factor rather than an implementation detail.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representation rather than by whether the encoder is learned (a learned sparse retriever is as susceptible as BM25, 0.625 versus 0.750), but sparsity is a correlate and not a law: enlarging GTE within one family and training recipe makes it </w:t>
      </w:r>
      <w:r>
        <w:rPr>
          <w:rFonts w:ascii="Times New Roman" w:hAnsi="Times New Roman" w:eastAsia="SimSun"/>
          <w:b/>
          <w:sz w:val="22"/>
        </w:rPr>
        <w:t>eight times more susceptible</w:t>
      </w:r>
      <w:r>
        <w:rPr>
          <w:rFonts w:ascii="Times New Roman" w:hAnsi="Times New Roman" w:eastAsia="SimSun"/>
          <w:sz w:val="22"/>
        </w:rPr>
        <w:t xml:space="preserve"> (0.0625 → 0.5000) while enlarging E5 makes it more resistant. Susceptibility is a per-checkpoint property that must be measured, so a single-encoder robustness claim reports an unmeasured encoder property.</w:t>
      </w:r>
    </w:p>
    <w:p>
      <w:r>
        <w:rPr>
          <w:rFonts w:ascii="Times New Roman" w:hAnsi="Times New Roman" w:eastAsia="SimSun"/>
          <w:sz w:val="22"/>
        </w:rPr>
        <w:t>We close with the measurement protocol the results imply: per-group shifts rather than cross-group differences, injection as a rate rather than a count, the encoder reported as a factor, and equivalence bounds for null claims.</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 including in our own first attempt at measuring it.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subtler failure — one we fell into ourselves.</w:t>
      </w:r>
      <w:r>
        <w:rPr>
          <w:rFonts w:ascii="Times New Roman" w:hAnsi="Times New Roman" w:eastAsia="SimSun"/>
          <w:sz w:val="22"/>
        </w:rPr>
        <w:t xml:space="preserve"> The obvious repair is to move from composition to stance and to keep using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also fails, and the reason generalises.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We identify this failure at the retrieval layer (§5.3), where two of three candidate R2 statistics are flat across the clean and fully attacked conditions, and then reproduce it at the generation layer in our own first measurement of propagation (§5.7): the absolute gap moved by less than 0.002 while the per-group shifts moved by 0.13 at $p \le 0.0035$, consistently across three generators. We report that second occurrence in full, because a measurement paper whose authors did not notice their own instance of the error would not be credible about anyone else's.</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 — a distinction we had to be corrected by our own data to see.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pPr>
        <w:pStyle w:val="ListBullet"/>
        <w:spacing w:line="360" w:lineRule="auto"/>
      </w:pPr>
      <w:r>
        <w:rPr>
          <w:rFonts w:ascii="Times New Roman" w:hAnsi="Times New Roman" w:eastAsia="SimSun"/>
          <w:b/>
          <w:sz w:val="22"/>
        </w:rPr>
        <w:t>Under an informed attacker the defenses do not merely weaken, they invert — and the static numbers are most optimistic exactly where the literature looks.</w:t>
      </w:r>
      <w:r>
        <w:rPr>
          <w:rFonts w:ascii="Times New Roman" w:hAnsi="Times New Roman" w:eastAsia="SimSun"/>
          <w:sz w:val="22"/>
        </w:rPr>
        <w:t xml:space="preserve"> Sweeping six retrieval back-ends against a defense-aware attacker, the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work uses (four begin at exactly 0.000 adversarial inclusion), yet no defense retains measurable benefit beyond one perturbation step on any of them, and the injected passages stay over 94% semantically intact throughout — so the collapse cannot be blamed on the attack destroying its own material. The only configuration that survives at all is the one whose constraint acts on the composition of the retrieved </w:t>
      </w:r>
      <w:r>
        <w:rPr>
          <w:rFonts w:ascii="Times New Roman" w:hAnsi="Times New Roman" w:eastAsia="SimSun"/>
          <w:i/>
          <w:sz w:val="22"/>
        </w:rPr>
        <w:t>set</w:t>
      </w:r>
      <w:r>
        <w:rPr>
          <w:rFonts w:ascii="Times New Roman" w:hAnsi="Times New Roman" w:eastAsia="SimSun"/>
          <w:sz w:val="22"/>
        </w:rPr>
        <w:t xml:space="preserve"> rather than on individual passages — which is precisely the constraint this paper shows is blind. From these results we derive the reporting requirements a robustness claim must meet to be interpretable, and state them as a protocol rather than a suggestion.</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why adversarial fairness statistics fail.</w:t>
      </w:r>
      <w:r>
        <w:rPr>
          <w:rFonts w:ascii="Times New Roman" w:hAnsi="Times New Roman" w:eastAsia="SimSun"/>
          <w:sz w:val="22"/>
        </w:rPr>
        <w:t xml:space="preserv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error demonstrated at two layers, including in our own first generation-layer measurement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pStyle w:val="ListNumber"/>
        <w:spacing w:line="360" w:lineRule="auto"/>
      </w:pPr>
      <w:r>
        <w:rPr>
          <w:rFonts w:ascii="Times New Roman" w:hAnsi="Times New Roman" w:eastAsia="SimSun"/>
          <w:b/>
          <w:sz w:val="22"/>
        </w:rPr>
        <w:t>An adaptive-attacker result that turns the negative result into an actionable one.</w:t>
      </w:r>
      <w:r>
        <w:rPr>
          <w:rFonts w:ascii="Times New Roman" w:hAnsi="Times New Roman" w:eastAsia="SimSun"/>
          <w:sz w:val="22"/>
        </w:rPr>
        <w:t xml:space="preserve"> Against a defense-aware attacker on six back-ends, the static advantage of the strongest defense is largest precisely on the pretrained encoders the compared literature uses, and no defense survives beyond one perturbation step on any of them while the attack retains over 94% semantic fidelity (§5.8). The only constraint that retains any benefit is the one acting on set composition rather than on individual passages — the axis this paper shows is blind — which is why we conclude that the escape is </w:t>
      </w:r>
      <w:r>
        <w:rPr>
          <w:rFonts w:ascii="Times New Roman" w:hAnsi="Times New Roman" w:eastAsia="SimSun"/>
          <w:i/>
          <w:sz w:val="22"/>
        </w:rPr>
        <w:t>measurement</w:t>
      </w:r>
      <w:r>
        <w:rPr>
          <w:rFonts w:ascii="Times New Roman" w:hAnsi="Times New Roman" w:eastAsia="SimSun"/>
          <w:sz w:val="22"/>
        </w:rPr>
        <w:t xml:space="preserve"> rather than defense. From this we derive a six-point reporting protocol for robustness claims, the constructive counterpart to the three failure modes (§5.8.1).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as a retrieval-quality problem</w:t>
      </w:r>
    </w:p>
    <w:p>
      <w:r>
        <w:rPr>
          <w:rFonts w:ascii="Times New Roman" w:hAnsi="Times New Roman" w:eastAsia="SimSun"/>
          <w:b/>
          <w:sz w:val="22"/>
        </w:rPr>
        <w:t>This paper is about what a retrieval evaluation statistic can see, so it belongs to the corpus of work on how retrieved evidence is measured — not to the corpus of attack construction.</w:t>
      </w:r>
      <w:r>
        <w:rPr>
          <w:rFonts w:ascii="Times New Roman" w:hAnsi="Times New Roman" w:eastAsia="SimSun"/>
          <w:sz w:val="22"/>
        </w:rPr>
        <w:t xml:space="preserve"> 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 We adopt this literature's attacks as </w:t>
      </w:r>
      <w:r>
        <w:rPr>
          <w:rFonts w:ascii="Times New Roman" w:hAnsi="Times New Roman" w:eastAsia="SimSun"/>
          <w:i/>
          <w:sz w:val="22"/>
        </w:rPr>
        <w:t>instruments</w:t>
      </w:r>
      <w:r>
        <w:rPr>
          <w:rFonts w:ascii="Times New Roman" w:hAnsi="Times New Roman" w:eastAsia="SimSun"/>
          <w:sz w:val="22"/>
        </w:rPr>
        <w:t>, not as a contribution: what the paper adds is an argument about which statistics can register them, and the evaluation practice that follows. The attacks here are used the way a test collection is used — to make a measurement's blind spots observable, by reporting a change against a control condition rather than a single value. §3.4 and §5.7 return to what that reporting practice should be.</w:t>
      </w:r>
    </w:p>
    <w:p>
      <w:pPr>
        <w:shd w:val="clear" w:color="auto" w:fill="DCE6F1"/>
        <w:spacing w:before="200" w:after="80"/>
      </w:pPr>
      <w:r>
        <w:rPr>
          <w:rFonts w:ascii="Times New Roman" w:hAnsi="Times New Roman" w:eastAsia="Microsoft YaHei"/>
          <w:b/>
          <w:sz w:val="26"/>
        </w:rPr>
        <w:t>2.2 Fairness as a measurement choice in information access</w:t>
      </w:r>
    </w:p>
    <w:p>
      <w:r>
        <w:rPr>
          <w:rFonts w:ascii="Times New Roman" w:hAnsi="Times New Roman" w:eastAsia="SimSun"/>
          <w:sz w:val="22"/>
        </w:rPr>
        <w:t xml:space="preserve">Fairness in RAG has been studied primarily as a property of the knowledge base and the generator rather than of an adversary, and — this is the point for what follows — each work defines fairness by the statistic it optimises.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 xml:space="preserve">Two measurement traditions meet here, and it matters which statistics each one supplies. Group fairness in information access is defined over a set — the share of a group in a retrieved set, or its exposure across requests — so its natural statistics are aggregates over groups, and the critiques of those aggregates in the wider fairness literature are critiques of exactly that form (§2.3). Item-side fair ranking instead treats fairness as a property of a distribution over rankings, which is why its machinery is stochastic. Read this way, the RAG fairness results above are not a set of competing defenses but a set of </w:t>
      </w:r>
      <w:r>
        <w:rPr>
          <w:rFonts w:ascii="Times New Roman" w:hAnsi="Times New Roman" w:eastAsia="SimSun"/>
          <w:i/>
          <w:sz w:val="22"/>
        </w:rPr>
        <w:t>measurement choices</w:t>
      </w:r>
      <w:r>
        <w:rPr>
          <w:rFonts w:ascii="Times New Roman" w:hAnsi="Times New Roman" w:eastAsia="SimSun"/>
          <w:sz w:val="22"/>
        </w:rPr>
        <w:t>, each taking a position on what fairness is a property of: Wu et al. take it to be a property of the retrieved set's composition, Kim et al. of component membership, Kim and Diaz of the ranking distribution.</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r>
        <w:rPr>
          <w:rFonts w:ascii="Times New Roman" w:hAnsi="Times New Roman" w:eastAsia="SimSun"/>
          <w:sz w:val="22"/>
        </w:rPr>
        <w:t>A survey and one further result frame how this work should be read. Dai et al. [14] survey bias and unfairness in retrieval and recommend unified measurement across the pipeline — the direction this paper takes, though their unit of analysis is the system rather than the statistic. Hu et al. [15] find that RAG can undermine fairness even for users who are vigilant about it, so the harm does not require a careless reader; that is the property our adversary exploits deliberately, and it is why we treat the retrieval-layer statistic rather than the user's behaviour as the thing to fix.</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 that is, they all occupy one cell of the two-dimensional space this paper separates, and the cell they occupy is the one an adversary can leave untouched. Second, several authors independently report that existing defenses are not robust enough — "further optimization … to achieve more stable and generalizable defense performance" [4]; "single-stage defenses give limited robustness" [16];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r>
        <w:rPr>
          <w:rFonts w:ascii="Times New Roman" w:hAnsi="Times New Roman" w:eastAsia="SimSun"/>
          <w:b/>
          <w:sz w:val="22"/>
        </w:rPr>
        <w:t>Where this sits relative to the measurement literature.</w:t>
      </w:r>
      <w:r>
        <w:rPr>
          <w:rFonts w:ascii="Times New Roman" w:hAnsi="Times New Roman" w:eastAsia="SimSun"/>
          <w:sz w:val="22"/>
        </w:rPr>
        <w:t xml:space="preserve"> Treating an evaluation statistic as a </w:t>
      </w:r>
      <w:r>
        <w:rPr>
          <w:rFonts w:ascii="Times New Roman" w:hAnsi="Times New Roman" w:eastAsia="SimSun"/>
          <w:i/>
          <w:sz w:val="22"/>
        </w:rPr>
        <w:t>measurement</w:t>
      </w:r>
      <w:r>
        <w:rPr>
          <w:rFonts w:ascii="Times New Roman" w:hAnsi="Times New Roman" w:eastAsia="SimSun"/>
          <w:sz w:val="22"/>
        </w:rPr>
        <w:t xml:space="preserve"> of a theoretical construct — and asking whether it can bear the inferential weight placed on it — is not a new idea, and we do not claim it as ours. Jacobs and Wallach [17] show that many documented fairness harms are mismatches between the construct a system is supposed to measure and its operationalisation, and they supply construct-validity tools for making those mismatches explicit. Ekstrand et al. [18] make the same argument inside information access, where an aggregate over groups hides the per-group and per-stakeholder structure that a fairness claim depends on. Our contribution is what happens to that argument once the adversary is put back in. Those works establish that an aggregate may fail to represent its construct; we show that under pairwise poisoning the failure is not a matter of degree or of a badly chosen threshold but an </w:t>
      </w:r>
      <w:r>
        <w:rPr>
          <w:rFonts w:ascii="Times New Roman" w:hAnsi="Times New Roman" w:eastAsia="SimSun"/>
          <w:i/>
          <w:sz w:val="22"/>
        </w:rPr>
        <w:t>invariance</w:t>
      </w:r>
      <w:r>
        <w:rPr>
          <w:rFonts w:ascii="Times New Roman" w:hAnsi="Times New Roman" w:eastAsia="SimSun"/>
          <w:sz w:val="22"/>
        </w:rPr>
        <w:t xml:space="preserve">, and we identify which invariance each candidate statistic has — F1 for anything counting, F2 for anything referenced, F3 for anything differenced — and therefore which construction defeats it. §3.4 states the three modes, §5 confirms them on measurements, and the positive control in the same section separates an invariant instrument from a broken one. The remaining distance from that literature is also the reason our recommendation is a </w:t>
      </w:r>
      <w:r>
        <w:rPr>
          <w:rFonts w:ascii="Times New Roman" w:hAnsi="Times New Roman" w:eastAsia="SimSun"/>
          <w:i/>
          <w:sz w:val="22"/>
        </w:rPr>
        <w:t>reporting</w:t>
      </w:r>
      <w:r>
        <w:rPr>
          <w:rFonts w:ascii="Times New Roman" w:hAnsi="Times New Roman" w:eastAsia="SimSun"/>
          <w:sz w:val="22"/>
        </w:rPr>
        <w:t xml:space="preserve"> rule rather than a new metric: a per-group report is what construct validity requires when no aggregation is safe.</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ways it loses the signal</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pPr>
        <w:jc w:val="center"/>
      </w:pPr>
      <w:r>
        <w:drawing>
          <wp:inline xmlns:a="http://schemas.openxmlformats.org/drawingml/2006/main" xmlns:pic="http://schemas.openxmlformats.org/drawingml/2006/picture">
            <wp:extent cx="3168000" cy="3168000"/>
            <wp:docPr id="1" name="Picture 1"/>
            <wp:cNvGraphicFramePr>
              <a:graphicFrameLocks noChangeAspect="1"/>
            </wp:cNvGraphicFramePr>
            <a:graphic>
              <a:graphicData uri="http://schemas.openxmlformats.org/drawingml/2006/picture">
                <pic:pic>
                  <pic:nvPicPr>
                    <pic:cNvPr id="0" name="fig_framework.png"/>
                    <pic:cNvPicPr/>
                  </pic:nvPicPr>
                  <pic:blipFill>
                    <a:blip r:embed="rId9"/>
                    <a:stretch>
                      <a:fillRect/>
                    </a:stretch>
                  </pic:blipFill>
                  <pic:spPr>
                    <a:xfrm>
                      <a:off x="0" y="0"/>
                      <a:ext cx="3168000" cy="3168000"/>
                    </a:xfrm>
                    <a:prstGeom prst="rect"/>
                  </pic:spPr>
                </pic:pic>
              </a:graphicData>
            </a:graphic>
          </wp:inline>
        </w:drawing>
      </w:r>
    </w:p>
    <w:p>
      <w:pPr>
        <w:jc w:val="center"/>
      </w:pPr>
      <w:r>
        <w:rPr>
          <w:i/>
          <w:sz w:val="17"/>
        </w:rPr>
        <w:t>The paper's framework in one panel. **(A)** A group-neutral query is answered from the top-$k$ retrieved set. **(B)** The attacker injects passages drawn from the legitimate template inventory in matched pairs --- one favourable to group A, one unfavourable to group B --- so the injection is balanced across groups by construction. **(C)** What a statistic then sees: an R1 (group-composition) statistic is left at its clean value because the attack balances the count, whereas an R2 (within-group stance) statistic is skewed because the attack changes the stance the evidence supports. The figure states the two dimensions the paper separates; the three failure modes below are the ways an aggregate over such statistics loses that signal.</w:t>
      </w:r>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pPr>
        <w:jc w:val="center"/>
      </w:pPr>
      <w:r>
        <w:drawing>
          <wp:inline xmlns:a="http://schemas.openxmlformats.org/drawingml/2006/main" xmlns:pic="http://schemas.openxmlformats.org/drawingml/2006/picture">
            <wp:extent cx="5040000" cy="937736"/>
            <wp:docPr id="2" name="Picture 2"/>
            <wp:cNvGraphicFramePr>
              <a:graphicFrameLocks noChangeAspect="1"/>
            </wp:cNvGraphicFramePr>
            <a:graphic>
              <a:graphicData uri="http://schemas.openxmlformats.org/drawingml/2006/picture">
                <pic:pic>
                  <pic:nvPicPr>
                    <pic:cNvPr id="0" name="fig_failure_modes.png"/>
                    <pic:cNvPicPr/>
                  </pic:nvPicPr>
                  <pic:blipFill>
                    <a:blip r:embed="rId10"/>
                    <a:stretch>
                      <a:fillRect/>
                    </a:stretch>
                  </pic:blipFill>
                  <pic:spPr>
                    <a:xfrm>
                      <a:off x="0" y="0"/>
                      <a:ext cx="5040000" cy="937736"/>
                    </a:xfrm>
                    <a:prstGeom prst="rect"/>
                  </pic:spPr>
                </pic:pic>
              </a:graphicData>
            </a:graphic>
          </wp:inline>
        </w:drawing>
      </w:r>
    </w:p>
    <w:p>
      <w:pPr>
        <w:jc w:val="center"/>
      </w:pPr>
      <w:r>
        <w:rPr>
          <w:i/>
          <w:sz w:val="17"/>
        </w:rPr>
        <w:t>The three failure modes, shown on the same retrieval setting. **(a) F1:** the injection contributes equally to every group, so a counting or composition statistic returns its clean value --- the attack is invisible to it (measured in §5.1 and §5.2). **(b) F2:** the statistic is anchored to a reference the attack does not move, so it reports the component that varies with the query rather than the one that varies with the attack (`stance_div` and `stance_onesided`, §3.2 and §5.1). **(c) F3:** all groups are relocated together, so any difference between groups is unchanged however far the groups move (`stance_gap` and its generation-layer twin, §5.1 and §5.7). The three panels are conceptual and carry no measured values; the corresponding measurements are in the sections named in the table above and in the responsiveness figure.</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pPr>
        <w:jc w:val="center"/>
      </w:pPr>
      <w:r>
        <w:drawing>
          <wp:inline xmlns:a="http://schemas.openxmlformats.org/drawingml/2006/main" xmlns:pic="http://schemas.openxmlformats.org/drawingml/2006/picture">
            <wp:extent cx="5040000" cy="1726737"/>
            <wp:docPr id="3" name="Picture 3"/>
            <wp:cNvGraphicFramePr>
              <a:graphicFrameLocks noChangeAspect="1"/>
            </wp:cNvGraphicFramePr>
            <a:graphic>
              <a:graphicData uri="http://schemas.openxmlformats.org/drawingml/2006/picture">
                <pic:pic>
                  <pic:nvPicPr>
                    <pic:cNvPr id="0" name="fig_responsiveness.png"/>
                    <pic:cNvPicPr/>
                  </pic:nvPicPr>
                  <pic:blipFill>
                    <a:blip r:embed="rId11"/>
                    <a:stretch>
                      <a:fillRect/>
                    </a:stretch>
                  </pic:blipFill>
                  <pic:spPr>
                    <a:xfrm>
                      <a:off x="0" y="0"/>
                      <a:ext cx="5040000" cy="1726737"/>
                    </a:xfrm>
                    <a:prstGeom prst="rect"/>
                  </pic:spPr>
                </pic:pic>
              </a:graphicData>
            </a:graphic>
          </wp:inline>
        </w:drawing>
      </w:r>
    </w:p>
    <w:p>
      <w:pPr>
        <w:jc w:val="center"/>
      </w:pPr>
      <w:r>
        <w:rPr>
          <w:i/>
          <w:sz w:val="17"/>
        </w:rPr>
        <w:t>Responsiveness control. Corpus size is held constant at 17{,}792 passages and passages are swapped between two well-populated groups, so the retrieval pool and the score threshold do not move and composition is the only variable. The ground-truth group share changes from 0.500 to 0.978 and back to 0.022; the R1 drift statistics track it monotonically and in the right direction, while the two reference-based R2 statistics are flat even here. The indicted statistics are therefore working instruments that are specifically invariant to an injection balancing group counts, not unreliable ones.</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 Two further bodies of work bound the claim. Within IR evaluation, the practice of reporting a distribution of per-query and per-topic effects rather than a single averaged score is long established — the TREC fair ranking track reports per-query exposure alongside the aggregate for this reason [19] — and the statistical machinery for attaching uncertainty to a difference between conditions, rather than to a single number, is standard [20]. Neither is aimed at an adversary, which is precisely why the invariance matters: those practices make a statistic's uncertainty visible, and an invariant statistic has no uncertainty to report, because its per-query difference is identically zero.</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[21, 22]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pPr>
        <w:jc w:val="center"/>
      </w:pPr>
      <w:r>
        <w:drawing>
          <wp:inline xmlns:a="http://schemas.openxmlformats.org/drawingml/2006/main" xmlns:pic="http://schemas.openxmlformats.org/drawingml/2006/picture">
            <wp:extent cx="3168000" cy="1800485"/>
            <wp:docPr id="4" name="Picture 4"/>
            <wp:cNvGraphicFramePr>
              <a:graphicFrameLocks noChangeAspect="1"/>
            </wp:cNvGraphicFramePr>
            <a:graphic>
              <a:graphicData uri="http://schemas.openxmlformats.org/drawingml/2006/picture">
                <pic:pic>
                  <pic:nvPicPr>
                    <pic:cNvPr id="0" name="fig_r1_inertness.png"/>
                    <pic:cNvPicPr/>
                  </pic:nvPicPr>
                  <pic:blipFill>
                    <a:blip r:embed="rId12"/>
                    <a:stretch>
                      <a:fillRect/>
                    </a:stretch>
                  </pic:blipFill>
                  <pic:spPr>
                    <a:xfrm>
                      <a:off x="0" y="0"/>
                      <a:ext cx="3168000" cy="1800485"/>
                    </a:xfrm>
                    <a:prstGeom prst="rect"/>
                  </pic:spPr>
                </pic:pic>
              </a:graphicData>
            </a:graphic>
          </wp:inline>
        </w:drawing>
      </w:r>
    </w:p>
    <w:p>
      <w:pPr>
        <w:jc w:val="center"/>
      </w:pPr>
      <w:r>
        <w:rPr>
          <w:i/>
          <w:sz w:val="17"/>
        </w:rPr>
        <w:t>R1-constraint inertness. Adversarial-passage inclusion as a function of the constraint budget $\varepsilon$, for the strictest ($\varepsilon=0$) through the loosest ($\varepsilon=1$) setting. Every constrained configuration coincides exactly with the unconstrained baseline -- the lines are not merely close, the per-query values are identical -- so the equivalence bound is $\pm 0.0000$ and the data exclude any effect on adversarial inclusion rather than an effect above some threshold.</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[21],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sz w:val="22"/>
        </w:rPr>
        <w:t>The sweep itself is in Appendix C, Table C6.</w:t>
      </w:r>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sz w:val="22"/>
        </w:rPr>
        <w:t>The operating-point comparison is in Appendix C, Table C7.</w:t>
      </w:r>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Encoder robustness: a per-checkpoint property, not a family property</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9.</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pPr>
        <w:jc w:val="center"/>
      </w:pPr>
      <w:r>
        <w:drawing>
          <wp:inline xmlns:a="http://schemas.openxmlformats.org/drawingml/2006/main" xmlns:pic="http://schemas.openxmlformats.org/drawingml/2006/picture">
            <wp:extent cx="3168000" cy="2231931"/>
            <wp:docPr id="5" name="Picture 5"/>
            <wp:cNvGraphicFramePr>
              <a:graphicFrameLocks noChangeAspect="1"/>
            </wp:cNvGraphicFramePr>
            <a:graphic>
              <a:graphicData uri="http://schemas.openxmlformats.org/drawingml/2006/picture">
                <pic:pic>
                  <pic:nvPicPr>
                    <pic:cNvPr id="0" name="fig_encoder_scale.png"/>
                    <pic:cNvPicPr/>
                  </pic:nvPicPr>
                  <pic:blipFill>
                    <a:blip r:embed="rId13"/>
                    <a:stretch>
                      <a:fillRect/>
                    </a:stretch>
                  </pic:blipFill>
                  <pic:spPr>
                    <a:xfrm>
                      <a:off x="0" y="0"/>
                      <a:ext cx="3168000" cy="2231931"/>
                    </a:xfrm>
                    <a:prstGeom prst="rect"/>
                  </pic:spPr>
                </pic:pic>
              </a:graphicData>
            </a:graphic>
          </wp:inline>
        </w:drawing>
      </w:r>
    </w:p>
    <w:p>
      <w:pPr>
        <w:jc w:val="center"/>
      </w:pPr>
      <w:r>
        <w:rPr>
          <w:i/>
          <w:sz w:val="17"/>
        </w:rPr>
        <w:t>Text-attack susceptibility at base and large scale, within each encoder family and training recipe. GTE and E5 are equally resistant at base size and move in opposite directions when enlarged: E5 becomes fully resistant ($0.0625 \rightarrow 0.0000$) while GTE becomes eight times more susceptible ($0.0625 \rightarrow 0.5000$). The learned-sparse retriever is susceptible at both sizes. Since the only variable is the checkpoint, susceptibility is a per-checkpoint property that cannot be inferred from architecture, size or representation family.</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9's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sz w:val="22"/>
        </w:rPr>
        <w:t>The decomposition is in Appendix C, Table C8.</w:t>
      </w:r>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sz w:val="22"/>
        </w:rPr>
        <w:t>The cross-back-end cut is in Appendix C, Table C9.</w:t>
      </w:r>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Adaptive attacker: no defense survives an informed adversary</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b/>
          <w:sz w:val="22"/>
        </w:rPr>
        <w:t>Correction.</w:t>
      </w:r>
      <w:r>
        <w:rPr>
          <w:rFonts w:ascii="Times New Roman" w:hAnsi="Times New Roman" w:eastAsia="SimSun"/>
          <w:sz w:val="22"/>
        </w:rPr>
        <w:t xml:space="preserve"> An earlier draft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Table C1 with 18 of 18 adaptive cells bit-identical. The qualitative conclusion is unchanged, but the static advantage is a factor of three, not six. We record it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C9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12.</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pPr>
        <w:jc w:val="center"/>
      </w:pPr>
      <w:r>
        <w:drawing>
          <wp:inline xmlns:a="http://schemas.openxmlformats.org/drawingml/2006/main" xmlns:pic="http://schemas.openxmlformats.org/drawingml/2006/picture">
            <wp:extent cx="5040000" cy="1799891"/>
            <wp:docPr id="6" name="Picture 6"/>
            <wp:cNvGraphicFramePr>
              <a:graphicFrameLocks noChangeAspect="1"/>
            </wp:cNvGraphicFramePr>
            <a:graphic>
              <a:graphicData uri="http://schemas.openxmlformats.org/drawingml/2006/picture">
                <pic:pic>
                  <pic:nvPicPr>
                    <pic:cNvPr id="0" name="fig_aggregate_vs_pergroup.png"/>
                    <pic:cNvPicPr/>
                  </pic:nvPicPr>
                  <pic:blipFill>
                    <a:blip r:embed="rId14"/>
                    <a:stretch>
                      <a:fillRect/>
                    </a:stretch>
                  </pic:blipFill>
                  <pic:spPr>
                    <a:xfrm>
                      <a:off x="0" y="0"/>
                      <a:ext cx="5040000" cy="1799891"/>
                    </a:xfrm>
                    <a:prstGeom prst="rect"/>
                  </pic:spPr>
                </pic:pic>
              </a:graphicData>
            </a:graphic>
          </wp:inline>
        </w:drawing>
      </w:r>
    </w:p>
    <w:p>
      <w:pPr>
        <w:jc w:val="center"/>
      </w:pPr>
      <w:r>
        <w:rPr>
          <w:i/>
          <w:sz w:val="17"/>
        </w:rPr>
        <w:t>The aggregate statistic against the per-group shifts, on the same retrieval conditions and the same queries. Left: the change in the absolute cross-group gap, which stays within $\pm 0.05$ because the attack relocates both groups rather than separating them. Right: the change in each group's stance separately, which is large, consistent in sign and significant for every generator. An asterisk marks $p&lt;0.05$ under a paired permutation test against the clean condition. Note that the two panels use different vertical scales: the aggregate moves by less than 0.002 where the groups move by about 0.13.</w:t>
      </w:r>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13.</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pPr>
        <w:jc w:val="center"/>
      </w:pPr>
      <w:r>
        <w:drawing>
          <wp:inline xmlns:a="http://schemas.openxmlformats.org/drawingml/2006/main" xmlns:pic="http://schemas.openxmlformats.org/drawingml/2006/picture">
            <wp:extent cx="5040000" cy="2520000"/>
            <wp:docPr id="7" name="Picture 7"/>
            <wp:cNvGraphicFramePr>
              <a:graphicFrameLocks noChangeAspect="1"/>
            </wp:cNvGraphicFramePr>
            <a:graphic>
              <a:graphicData uri="http://schemas.openxmlformats.org/drawingml/2006/picture">
                <pic:pic>
                  <pic:nvPicPr>
                    <pic:cNvPr id="0" name="fig_probe_commitment.png"/>
                    <pic:cNvPicPr/>
                  </pic:nvPicPr>
                  <pic:blipFill>
                    <a:blip r:embed="rId15"/>
                    <a:stretch>
                      <a:fillRect/>
                    </a:stretch>
                  </pic:blipFill>
                  <pic:spPr>
                    <a:xfrm>
                      <a:off x="0" y="0"/>
                      <a:ext cx="5040000" cy="2520000"/>
                    </a:xfrm>
                    <a:prstGeom prst="rect"/>
                  </pic:spPr>
                </pic:pic>
              </a:graphicData>
            </a:graphic>
          </wp:inline>
        </w:drawing>
      </w:r>
    </w:p>
    <w:p>
      <w:pPr>
        <w:jc w:val="center"/>
      </w:pPr>
      <w:r>
        <w:rPr>
          <w:i/>
          <w:sz w:val="17"/>
        </w:rPr>
        <w:t>The instrument, not the corpus, was the reason the natural corpus appeared to show nothing. **Left:** with a free-form probe most answers take no position at all --- on the full BBQ corpus 99.0% of them, against 84.4% on the controlled corpus --- so the statistic reads near zero under every condition and no effect of any size could have appeared in it. **Right:** a forced-choice probe makes the same answers commit to a side, and on identical retrieval conditions it reads an effect, with five per-group shifts at $p &lt; 0.05$ for one generator (Table 14). The panels are conceptual and carry no measured values; the commitment values they illustrate are in Table 13.</w:t>
      </w:r>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14.</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12)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hd w:val="clear" w:color="auto" w:fill="DCE6F1"/>
        <w:spacing w:before="200" w:after="80"/>
      </w:pPr>
      <w:r>
        <w:rPr>
          <w:rFonts w:ascii="Times New Roman" w:hAnsi="Times New Roman" w:eastAsia="Microsoft YaHei"/>
          <w:b/>
          <w:sz w:val="26"/>
        </w:rPr>
        <w:t>5.8 The collapse is not an artefact of one retriever</w:t>
      </w:r>
    </w:p>
    <w:p>
      <w:r>
        <w:rPr>
          <w:rFonts w:ascii="Times New Roman" w:hAnsi="Times New Roman" w:eastAsia="SimSun"/>
          <w:sz w:val="22"/>
        </w:rPr>
        <w:t xml:space="preserve">The sweep above uses our own feature-hashing dense retriever. Because the </w:t>
      </w:r>
      <w:r>
        <w:rPr>
          <w:rFonts w:ascii="Times New Roman" w:hAnsi="Times New Roman" w:eastAsia="SimSun"/>
          <w:i/>
          <w:sz w:val="22"/>
        </w:rPr>
        <w:t>shape</w:t>
      </w:r>
      <w:r>
        <w:rPr>
          <w:rFonts w:ascii="Times New Roman" w:hAnsi="Times New Roman" w:eastAsia="SimSun"/>
          <w:sz w:val="22"/>
        </w:rPr>
        <w:t xml:space="preserve"> of the collapse — not merely its endpoint — could depend on the encoder, we repeated it on four further back-ends: </w:t>
      </w:r>
      <w:r>
        <w:rPr>
          <w:rFonts w:ascii="Times New Roman" w:hAnsi="Times New Roman" w:eastAsia="SimSun"/>
          <w:b/>
          <w:sz w:val="22"/>
        </w:rPr>
        <w:t>GTE-base</w:t>
      </w:r>
      <w:r>
        <w:rPr>
          <w:rFonts w:ascii="Times New Roman" w:hAnsi="Times New Roman" w:eastAsia="SimSun"/>
          <w:sz w:val="22"/>
        </w:rPr>
        <w:t xml:space="preserve"> (the encoder used by the closest prior work on fairness-aware retrieval optimisation [5]), </w:t>
      </w:r>
      <w:r>
        <w:rPr>
          <w:rFonts w:ascii="Times New Roman" w:hAnsi="Times New Roman" w:eastAsia="SimSun"/>
          <w:b/>
          <w:sz w:val="22"/>
        </w:rPr>
        <w:t>E5-base-v2</w:t>
      </w:r>
      <w:r>
        <w:rPr>
          <w:rFonts w:ascii="Times New Roman" w:hAnsi="Times New Roman" w:eastAsia="SimSun"/>
          <w:sz w:val="22"/>
        </w:rPr>
        <w:t xml:space="preserve"> (used by the RAG fairness evaluations above), </w:t>
      </w:r>
      <w:r>
        <w:rPr>
          <w:rFonts w:ascii="Times New Roman" w:hAnsi="Times New Roman" w:eastAsia="SimSun"/>
          <w:b/>
          <w:sz w:val="22"/>
        </w:rPr>
        <w:t>Contriever</w:t>
      </w:r>
      <w:r>
        <w:rPr>
          <w:rFonts w:ascii="Times New Roman" w:hAnsi="Times New Roman" w:eastAsia="SimSun"/>
          <w:sz w:val="22"/>
        </w:rPr>
        <w:t xml:space="preserve">, and </w:t>
      </w:r>
      <w:r>
        <w:rPr>
          <w:rFonts w:ascii="Times New Roman" w:hAnsi="Times New Roman" w:eastAsia="SimSun"/>
          <w:b/>
          <w:sz w:val="22"/>
        </w:rPr>
        <w:t>SPLADE</w:t>
      </w:r>
      <w:r>
        <w:rPr>
          <w:rFonts w:ascii="Times New Roman" w:hAnsi="Times New Roman" w:eastAsia="SimSun"/>
          <w:sz w:val="22"/>
        </w:rPr>
        <w:t xml:space="preserve">, a learned </w:t>
      </w:r>
      <w:r>
        <w:rPr>
          <w:rFonts w:ascii="Times New Roman" w:hAnsi="Times New Roman" w:eastAsia="SimSun"/>
          <w:i/>
          <w:sz w:val="22"/>
        </w:rPr>
        <w:t>sparse</w:t>
      </w:r>
      <w:r>
        <w:rPr>
          <w:rFonts w:ascii="Times New Roman" w:hAnsi="Times New Roman" w:eastAsia="SimSun"/>
          <w:sz w:val="22"/>
        </w:rPr>
        <w:t xml:space="preserve"> retriever. SPLADE is what makes the comparison diagnostic: it is a trained neural encoder, like GTE and E5, but its representation is sparse, like BM25's.</w:t>
      </w:r>
    </w:p>
    <w:p>
      <w:r>
        <w:rPr>
          <w:rFonts w:ascii="Times New Roman" w:hAnsi="Times New Roman" w:eastAsia="SimSun"/>
          <w:b/>
          <w:sz w:val="22"/>
        </w:rPr>
        <w:t>Table 15.</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for off-manifold filtering, by back-end. Six back-ends; </w:t>
      </w:r>
      <w:r>
        <w:rPr>
          <w:rFonts w:ascii="Consolas" w:hAnsi="Consolas" w:eastAsia="Consolas"/>
          <w:sz w:val="21"/>
        </w:rPr>
        <w:t>usage</w:t>
      </w:r>
      <w:r>
        <w:rPr>
          <w:rFonts w:ascii="Times New Roman" w:hAnsi="Times New Roman" w:eastAsia="SimSun"/>
          <w:sz w:val="22"/>
        </w:rPr>
        <w:t xml:space="preserve"> (the attacker's semantic fidelity) in the last column.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DCE6F1"/>
          </w:tcPr>
          <w:p>
            <w:pPr>
              <w:spacing w:line="240" w:lineRule="auto" w:after="0"/>
            </w:pPr>
            <w:r>
              <w:rPr>
                <w:rFonts w:ascii="Times New Roman" w:hAnsi="Times New Roman" w:eastAsia="SimSun"/>
                <w:b/>
                <w:sz w:val="19"/>
              </w:rPr>
              <w:t>Back-end</w:t>
            </w:r>
          </w:p>
        </w:tc>
        <w:tc>
          <w:tcPr>
            <w:tcW w:type="dxa" w:w="1071"/>
            <w:shd w:val="clear" w:color="auto" w:fill="DCE6F1"/>
          </w:tcPr>
          <w:p>
            <w:pPr>
              <w:spacing w:line="240" w:lineRule="auto" w:after="0"/>
            </w:pPr>
            <w:r>
              <w:rPr>
                <w:rFonts w:ascii="Times New Roman" w:hAnsi="Times New Roman" w:eastAsia="SimSun"/>
                <w:b/>
                <w:sz w:val="19"/>
              </w:rPr>
              <w:t>representation</w:t>
            </w:r>
          </w:p>
        </w:tc>
        <w:tc>
          <w:tcPr>
            <w:tcW w:type="dxa" w:w="1071"/>
            <w:shd w:val="clear" w:color="auto" w:fill="DCE6F1"/>
          </w:tcPr>
          <w:p>
            <w:pPr>
              <w:spacing w:line="240" w:lineRule="auto" w:after="0"/>
            </w:pPr>
            <w:r>
              <w:rPr>
                <w:rFonts w:ascii="Times New Roman" w:hAnsi="Times New Roman" w:eastAsia="SimSun"/>
                <w:b/>
                <w:sz w:val="19"/>
              </w:rPr>
              <w:t>λ=0</w:t>
            </w:r>
          </w:p>
        </w:tc>
        <w:tc>
          <w:tcPr>
            <w:tcW w:type="dxa" w:w="1071"/>
            <w:shd w:val="clear" w:color="auto" w:fill="DCE6F1"/>
          </w:tcPr>
          <w:p>
            <w:pPr>
              <w:spacing w:line="240" w:lineRule="auto" w:after="0"/>
            </w:pPr>
            <w:r>
              <w:rPr>
                <w:rFonts w:ascii="Times New Roman" w:hAnsi="Times New Roman" w:eastAsia="SimSun"/>
                <w:b/>
                <w:sz w:val="19"/>
              </w:rPr>
              <w:t>λ=0.25</w:t>
            </w:r>
          </w:p>
        </w:tc>
        <w:tc>
          <w:tcPr>
            <w:tcW w:type="dxa" w:w="1071"/>
            <w:shd w:val="clear" w:color="auto" w:fill="DCE6F1"/>
          </w:tcPr>
          <w:p>
            <w:pPr>
              <w:spacing w:line="240" w:lineRule="auto" w:after="0"/>
            </w:pPr>
            <w:r>
              <w:rPr>
                <w:rFonts w:ascii="Times New Roman" w:hAnsi="Times New Roman" w:eastAsia="SimSun"/>
                <w:b/>
                <w:sz w:val="19"/>
              </w:rPr>
              <w:t>λ=0.5</w:t>
            </w:r>
          </w:p>
        </w:tc>
        <w:tc>
          <w:tcPr>
            <w:tcW w:type="dxa" w:w="1071"/>
            <w:shd w:val="clear" w:color="auto" w:fill="DCE6F1"/>
          </w:tcPr>
          <w:p>
            <w:pPr>
              <w:spacing w:line="240" w:lineRule="auto" w:after="0"/>
            </w:pPr>
            <w:r>
              <w:rPr>
                <w:rFonts w:ascii="Times New Roman" w:hAnsi="Times New Roman" w:eastAsia="SimSun"/>
                <w:b/>
                <w:sz w:val="19"/>
              </w:rPr>
              <w:t>λ=1</w:t>
            </w:r>
          </w:p>
        </w:tc>
        <w:tc>
          <w:tcPr>
            <w:tcW w:type="dxa" w:w="1071"/>
            <w:shd w:val="clear" w:color="auto" w:fill="DCE6F1"/>
          </w:tcPr>
          <w:p>
            <w:pPr>
              <w:spacing w:line="240" w:lineRule="auto" w:after="0"/>
            </w:pPr>
            <w:r>
              <w:rPr>
                <w:rFonts w:ascii="Times New Roman" w:hAnsi="Times New Roman" w:eastAsia="SimSun"/>
                <w:b/>
                <w:sz w:val="19"/>
              </w:rPr>
              <w:t>λ=2</w:t>
            </w:r>
          </w:p>
        </w:tc>
        <w:tc>
          <w:tcPr>
            <w:tcW w:type="dxa" w:w="1071"/>
            <w:shd w:val="clear" w:color="auto" w:fill="DCE6F1"/>
          </w:tcPr>
          <w:p>
            <w:pPr>
              <w:spacing w:line="240" w:lineRule="auto" w:after="0"/>
            </w:pPr>
            <w:r>
              <w:rPr>
                <w:rFonts w:ascii="Times New Roman" w:hAnsi="Times New Roman" w:eastAsia="SimSun"/>
                <w:b/>
                <w:sz w:val="19"/>
              </w:rPr>
              <w:t>λ=4</w:t>
            </w:r>
          </w:p>
        </w:tc>
        <w:tc>
          <w:tcPr>
            <w:tcW w:type="dxa" w:w="1071"/>
            <w:shd w:val="clear" w:color="auto" w:fill="DCE6F1"/>
          </w:tcPr>
          <w:p>
            <w:pPr>
              <w:spacing w:line="240" w:lineRule="auto" w:after="0"/>
            </w:pPr>
            <w:r>
              <w:rPr>
                <w:rFonts w:ascii="Consolas" w:hAnsi="Consolas" w:eastAsia="Consolas"/>
                <w:b/>
                <w:sz w:val="18"/>
              </w:rPr>
              <w:t>usage</w:t>
            </w:r>
            <w:r>
              <w:rPr>
                <w:rFonts w:ascii="Times New Roman" w:hAnsi="Times New Roman" w:eastAsia="SimSun"/>
                <w:b/>
                <w:sz w:val="19"/>
              </w:rPr>
              <w:t xml:space="preserve"> at λ=1</w:t>
            </w:r>
          </w:p>
        </w:tc>
      </w:tr>
      <w:tr>
        <w:tc>
          <w:tcPr>
            <w:tcW w:type="dxa" w:w="1071"/>
          </w:tcPr>
          <w:p>
            <w:pPr>
              <w:spacing w:line="240" w:lineRule="auto" w:after="0"/>
            </w:pPr>
            <w:r>
              <w:rPr>
                <w:rFonts w:ascii="Times New Roman" w:hAnsi="Times New Roman" w:eastAsia="SimSun"/>
                <w:sz w:val="19"/>
              </w:rPr>
              <w:t>hash-dense (own)</w:t>
            </w:r>
          </w:p>
        </w:tc>
        <w:tc>
          <w:tcPr>
            <w:tcW w:type="dxa" w:w="1071"/>
          </w:tcPr>
          <w:p>
            <w:pPr>
              <w:spacing w:line="240" w:lineRule="auto" w:after="0"/>
            </w:pPr>
            <w:r>
              <w:rPr>
                <w:rFonts w:ascii="Times New Roman" w:hAnsi="Times New Roman" w:eastAsia="SimSun"/>
                <w:sz w:val="19"/>
              </w:rPr>
              <w:t>dense, hashed</w:t>
            </w:r>
          </w:p>
        </w:tc>
        <w:tc>
          <w:tcPr>
            <w:tcW w:type="dxa" w:w="1071"/>
          </w:tcPr>
          <w:p>
            <w:pPr>
              <w:spacing w:line="240" w:lineRule="auto" w:after="0"/>
            </w:pPr>
            <w:r>
              <w:rPr>
                <w:rFonts w:ascii="Times New Roman" w:hAnsi="Times New Roman" w:eastAsia="SimSun"/>
                <w:sz w:val="19"/>
              </w:rPr>
              <w:t>0.250</w:t>
            </w:r>
          </w:p>
        </w:tc>
        <w:tc>
          <w:tcPr>
            <w:tcW w:type="dxa" w:w="1071"/>
          </w:tcPr>
          <w:p>
            <w:pPr>
              <w:spacing w:line="240" w:lineRule="auto" w:after="0"/>
            </w:pPr>
            <w:r>
              <w:rPr>
                <w:rFonts w:ascii="Times New Roman" w:hAnsi="Times New Roman" w:eastAsia="SimSun"/>
                <w:sz w:val="19"/>
              </w:rPr>
              <w:t>0.562</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0.945</w:t>
            </w:r>
          </w:p>
        </w:tc>
      </w:tr>
      <w:tr>
        <w:tc>
          <w:tcPr>
            <w:tcW w:type="dxa" w:w="1071"/>
          </w:tcPr>
          <w:p>
            <w:pPr>
              <w:spacing w:line="240" w:lineRule="auto" w:after="0"/>
            </w:pPr>
            <w:r>
              <w:rPr>
                <w:rFonts w:ascii="Times New Roman" w:hAnsi="Times New Roman" w:eastAsia="SimSun"/>
                <w:b/>
                <w:sz w:val="19"/>
              </w:rPr>
              <w:t>GTE-base</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0.978</w:t>
            </w:r>
          </w:p>
        </w:tc>
      </w:tr>
      <w:tr>
        <w:tc>
          <w:tcPr>
            <w:tcW w:type="dxa" w:w="1071"/>
          </w:tcPr>
          <w:p>
            <w:pPr>
              <w:spacing w:line="240" w:lineRule="auto" w:after="0"/>
            </w:pPr>
            <w:r>
              <w:rPr>
                <w:rFonts w:ascii="Times New Roman" w:hAnsi="Times New Roman" w:eastAsia="SimSun"/>
                <w:b/>
                <w:sz w:val="19"/>
              </w:rPr>
              <w:t>E5-base-v2</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0.971</w:t>
            </w:r>
          </w:p>
        </w:tc>
      </w:tr>
      <w:tr>
        <w:tc>
          <w:tcPr>
            <w:tcW w:type="dxa" w:w="1071"/>
          </w:tcPr>
          <w:p>
            <w:pPr>
              <w:spacing w:line="240" w:lineRule="auto" w:after="0"/>
            </w:pPr>
            <w:r>
              <w:rPr>
                <w:rFonts w:ascii="Times New Roman" w:hAnsi="Times New Roman" w:eastAsia="SimSun"/>
                <w:b/>
                <w:sz w:val="19"/>
              </w:rPr>
              <w:t>Contriever</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0.625</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0.943</w:t>
            </w:r>
          </w:p>
        </w:tc>
      </w:tr>
      <w:tr>
        <w:tc>
          <w:tcPr>
            <w:tcW w:type="dxa" w:w="1071"/>
          </w:tcPr>
          <w:p>
            <w:pPr>
              <w:spacing w:line="240" w:lineRule="auto" w:after="0"/>
            </w:pPr>
            <w:r>
              <w:rPr>
                <w:rFonts w:ascii="Times New Roman" w:hAnsi="Times New Roman" w:eastAsia="SimSun"/>
                <w:b/>
                <w:sz w:val="19"/>
              </w:rPr>
              <w:t>SPLADE</w:t>
            </w:r>
            <w:r>
              <w:rPr>
                <w:rFonts w:ascii="Times New Roman" w:hAnsi="Times New Roman" w:eastAsia="SimSun"/>
                <w:sz w:val="19"/>
              </w:rPr>
              <w:t xml:space="preserve"> (distil)</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sz w:val="19"/>
              </w:rPr>
              <w:t>0.188</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0.954</w:t>
            </w:r>
          </w:p>
        </w:tc>
      </w:tr>
      <w:tr>
        <w:tc>
          <w:tcPr>
            <w:tcW w:type="dxa" w:w="1071"/>
          </w:tcPr>
          <w:p>
            <w:pPr>
              <w:spacing w:line="240" w:lineRule="auto" w:after="0"/>
            </w:pPr>
            <w:r>
              <w:rPr>
                <w:rFonts w:ascii="Times New Roman" w:hAnsi="Times New Roman" w:eastAsia="SimSun"/>
                <w:b/>
                <w:sz w:val="19"/>
              </w:rPr>
              <w:t>SPLADE large</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0.750</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0.952</w:t>
            </w:r>
          </w:p>
        </w:tc>
      </w:tr>
    </w:tbl>
    <w:p/>
    <w:p>
      <w:r>
        <w:rPr>
          <w:rFonts w:ascii="Times New Roman" w:hAnsi="Times New Roman" w:eastAsia="SimSun"/>
          <w:sz w:val="22"/>
        </w:rPr>
        <w:t xml:space="preserve">The picture is not the one we expected when we added these back-ends, and it took all six to see why. Four of the five pretrained encoders (GTE-base, E5-base-v2, Contriever and SPLADE-large) begin at </w:t>
      </w:r>
      <w:r>
        <w:rPr>
          <w:rFonts w:ascii="Times New Roman" w:hAnsi="Times New Roman" w:eastAsia="SimSun"/>
          <w:b/>
          <w:sz w:val="22"/>
        </w:rPr>
        <w:t>exactly zero</w:t>
      </w:r>
      <w:r>
        <w:rPr>
          <w:rFonts w:ascii="Times New Roman" w:hAnsi="Times New Roman" w:eastAsia="SimSun"/>
          <w:sz w:val="22"/>
        </w:rPr>
        <w:t xml:space="preserve"> adversarial inclusion against the static attacker and are effectively defeated after a single perturbation step. But "one step" means a </w:t>
      </w:r>
      <w:r>
        <w:rPr>
          <w:rFonts w:ascii="Times New Roman" w:hAnsi="Times New Roman" w:eastAsia="SimSun"/>
          <w:i/>
          <w:sz w:val="22"/>
        </w:rPr>
        <w:t>complete</w:t>
      </w:r>
      <w:r>
        <w:rPr>
          <w:rFonts w:ascii="Times New Roman" w:hAnsi="Times New Roman" w:eastAsia="SimSun"/>
          <w:sz w:val="22"/>
        </w:rPr>
        <w:t xml:space="preserve"> failure immediately for GTE-base and E5-base-v2 (0.000 → 1.000), whereas Contriever (0.000 → 0.625 → 1.000) and both SPLADE sizes climb gradually and resemble our own hashed retriever (0.188 / 0.500 / 0.812 and 0.000 / 0.500 / 0.750 against 0.250 / 0.562 / 0.812). Scaling SPLADE up even </w:t>
      </w:r>
      <w:r>
        <w:rPr>
          <w:rFonts w:ascii="Times New Roman" w:hAnsi="Times New Roman" w:eastAsia="SimSun"/>
          <w:i/>
          <w:sz w:val="22"/>
        </w:rPr>
        <w:t>improves</w:t>
      </w:r>
      <w:r>
        <w:rPr>
          <w:rFonts w:ascii="Times New Roman" w:hAnsi="Times New Roman" w:eastAsia="SimSun"/>
          <w:sz w:val="22"/>
        </w:rPr>
        <w:t xml:space="preserve"> the defense's static position (0.188 → 0.000 at $\lambda = 0$) while leaving the collapse rate unchanged. Neither "pretrained versus hashed" nor "dense versus sparse" describes the collapse on its own.</w:t>
      </w:r>
    </w:p>
    <w:p>
      <w:r>
        <w:rPr>
          <w:rFonts w:ascii="Times New Roman" w:hAnsi="Times New Roman" w:eastAsia="SimSun"/>
          <w:b/>
          <w:sz w:val="22"/>
        </w:rPr>
        <w:t>Finding 12.</w:t>
      </w:r>
      <w:r>
        <w:rPr>
          <w:rFonts w:ascii="Times New Roman" w:hAnsi="Times New Roman" w:eastAsia="SimSun"/>
          <w:sz w:val="22"/>
        </w:rPr>
        <w:t xml:space="preserve"> Three claims are stable across all six back-ends and are what this finding rests on. First, </w:t>
      </w:r>
      <w:r>
        <w:rPr>
          <w:rFonts w:ascii="Times New Roman" w:hAnsi="Times New Roman" w:eastAsia="SimSun"/>
          <w:b/>
          <w:sz w:val="22"/>
        </w:rPr>
        <w:t>the static advantage is largest on the pretrained encoders</w:t>
      </w:r>
      <w:r>
        <w:rPr>
          <w:rFonts w:ascii="Times New Roman" w:hAnsi="Times New Roman" w:eastAsia="SimSun"/>
          <w:sz w:val="22"/>
        </w:rPr>
        <w:t xml:space="preserve">: all five begin below our hashed retriever's 0.250, and four begin at 0.000 — the reverse of the concern that motivated the experiment, and awkward for the compared literature, because the static numbers one would use to select a defense are most optimistic precisely on the back-ends that literature uses. Second, </w:t>
      </w:r>
      <w:r>
        <w:rPr>
          <w:rFonts w:ascii="Times New Roman" w:hAnsi="Times New Roman" w:eastAsia="SimSun"/>
          <w:b/>
          <w:sz w:val="22"/>
        </w:rPr>
        <w:t>no defense retains any measurable benefit beyond $\lambda = 1$</w:t>
      </w:r>
      <w:r>
        <w:rPr>
          <w:rFonts w:ascii="Times New Roman" w:hAnsi="Times New Roman" w:eastAsia="SimSun"/>
          <w:sz w:val="22"/>
        </w:rPr>
        <w:t xml:space="preserve"> on any of the six, and on four of them none survives $\lambda = 0.25$. Third, </w:t>
      </w:r>
      <w:r>
        <w:rPr>
          <w:rFonts w:ascii="Times New Roman" w:hAnsi="Times New Roman" w:eastAsia="SimSun"/>
          <w:b/>
          <w:sz w:val="22"/>
        </w:rPr>
        <w:t>the attacker pays essentially nothing</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is at least 0.943 at $\lambda = 1$ on every back-end, so the injected material is over 94% semantically intact at the point where the defenses have lost most or all of their advantage.</w:t>
      </w:r>
    </w:p>
    <w:p>
      <w:r>
        <w:rPr>
          <w:rFonts w:ascii="Times New Roman" w:hAnsi="Times New Roman" w:eastAsia="SimSun"/>
          <w:sz w:val="22"/>
        </w:rPr>
        <w:t xml:space="preserve">The honest statement about the </w:t>
      </w:r>
      <w:r>
        <w:rPr>
          <w:rFonts w:ascii="Times New Roman" w:hAnsi="Times New Roman" w:eastAsia="SimSun"/>
          <w:i/>
          <w:sz w:val="22"/>
        </w:rPr>
        <w:t>shape</w:t>
      </w:r>
      <w:r>
        <w:rPr>
          <w:rFonts w:ascii="Times New Roman" w:hAnsi="Times New Roman" w:eastAsia="SimSun"/>
          <w:sz w:val="22"/>
        </w:rPr>
        <w:t xml:space="preserve"> of the collapse is therefore weaker than we first wrote: the abruptness varies by encoder in a way we cannot reduce to a single property, and an earlier framing of ours — that the collapse is steeper on a "real" encoder — was too coarse and is replaced here. The practical consequence is unchanged and, if anything, sharper. A defense selected on its static advantage is defeated comprehensively, and a robustness claim measured on one back-end inherits an unmeasured dependence on which back-end was chosen. This is the same lesson as §5.5, arrived at from the opposite direction: there, the encoder determined whether a </w:t>
      </w:r>
      <w:r>
        <w:rPr>
          <w:rFonts w:ascii="Times New Roman" w:hAnsi="Times New Roman" w:eastAsia="SimSun"/>
          <w:i/>
          <w:sz w:val="22"/>
        </w:rPr>
        <w:t>text</w:t>
      </w:r>
      <w:r>
        <w:rPr>
          <w:rFonts w:ascii="Times New Roman" w:hAnsi="Times New Roman" w:eastAsia="SimSun"/>
          <w:sz w:val="22"/>
        </w:rPr>
        <w:t xml:space="preserve"> attack worked at all; here, it determines whether a defense collapses in one perturbation step or three. </w:t>
      </w:r>
      <w:r>
        <w:rPr>
          <w:rFonts w:ascii="Times New Roman" w:hAnsi="Times New Roman" w:eastAsia="SimSun"/>
          <w:b/>
          <w:sz w:val="22"/>
        </w:rPr>
        <w:t>In both cases the encoder is not a nuisance parameter.</w:t>
      </w:r>
    </w:p>
    <w:p>
      <w:r>
        <w:rPr>
          <w:rFonts w:ascii="Times New Roman" w:hAnsi="Times New Roman" w:eastAsia="SimSun"/>
          <w:b/>
          <w:sz w:val="22"/>
        </w:rPr>
        <w:t>Finding 13. What survives adaptation, and why.</w:t>
      </w:r>
      <w:r>
        <w:rPr>
          <w:rFonts w:ascii="Times New Roman" w:hAnsi="Times New Roman" w:eastAsia="SimSun"/>
          <w:sz w:val="22"/>
        </w:rPr>
        <w:t xml:space="preserve"> Only one configuration retains measurable benefit, and only in part of the sweep: the R1+R2 constraint on BBQ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against 0.363 for no defense), and it beats multi-query consistency throughout (0.319 against 0.535 at $\lambda = 0.5$; 0.764 against 0.847 at $\lambda = 1$). We attribute this to the defense's </w:t>
      </w:r>
      <w:r>
        <w:rPr>
          <w:rFonts w:ascii="Times New Roman" w:hAnsi="Times New Roman" w:eastAsia="SimSun"/>
          <w:i/>
          <w:sz w:val="22"/>
        </w:rPr>
        <w:t>objective</w:t>
      </w:r>
      <w:r>
        <w:rPr>
          <w:rFonts w:ascii="Times New Roman" w:hAnsi="Times New Roman" w:eastAsia="SimSun"/>
          <w:sz w:val="22"/>
        </w:rPr>
        <w:t xml:space="preserve"> rather than to any attack-specific matching. It is the only defense whose constraint is expressed over the composition of the retrieved set rather than over individual passage statistics, so it cannot be satisfied by choosing perturbations — only by changing which passages are mutually compatible. That is a weaker effect than the static evaluation suggested, and it disappears by $\lambda = 2$. The asymmetry is the useful part: </w:t>
      </w:r>
      <w:r>
        <w:rPr>
          <w:rFonts w:ascii="Times New Roman" w:hAnsi="Times New Roman" w:eastAsia="SimSun"/>
          <w:b/>
          <w:sz w:val="22"/>
        </w:rPr>
        <w:t>constraints on properties of an individual passage are optimisable-against because the attacker controls that passage; constraints on the set are not, but they are correspondingly weaker.</w:t>
      </w:r>
    </w:p>
    <w:p>
      <w:pPr>
        <w:spacing w:before="160" w:after="60"/>
      </w:pPr>
      <w:r>
        <w:rPr>
          <w:rFonts w:ascii="Times New Roman" w:hAnsi="Times New Roman" w:eastAsia="Microsoft YaHei"/>
          <w:b/>
          <w:sz w:val="23"/>
        </w:rPr>
        <w:t>5.8.1 The evaluation protocol these results imply</w:t>
      </w:r>
    </w:p>
    <w:p>
      <w:r>
        <w:rPr>
          <w:rFonts w:ascii="Times New Roman" w:hAnsi="Times New Roman" w:eastAsia="SimSun"/>
          <w:sz w:val="22"/>
        </w:rPr>
        <w:t xml:space="preserve">Findings 12 and 13 are not sensitive to our particular attack. They follow from the attacker being informed, which is the standard against which robustness claims are judged in the adversarial literature [23, 24]. We therefore state the protocol as a requirement rather than a suggestion, and it is the second half of the measurement contribution this paper makes: §3.4 gave the conditions under which a </w:t>
      </w:r>
      <w:r>
        <w:rPr>
          <w:rFonts w:ascii="Times New Roman" w:hAnsi="Times New Roman" w:eastAsia="SimSun"/>
          <w:i/>
          <w:sz w:val="22"/>
        </w:rPr>
        <w:t>statistic</w:t>
      </w:r>
      <w:r>
        <w:rPr>
          <w:rFonts w:ascii="Times New Roman" w:hAnsi="Times New Roman" w:eastAsia="SimSun"/>
          <w:sz w:val="22"/>
        </w:rPr>
        <w:t xml:space="preserve"> is blind, and this gives the conditions under which a </w:t>
      </w:r>
      <w:r>
        <w:rPr>
          <w:rFonts w:ascii="Times New Roman" w:hAnsi="Times New Roman" w:eastAsia="SimSun"/>
          <w:i/>
          <w:sz w:val="22"/>
        </w:rPr>
        <w:t>robustness claim</w:t>
      </w:r>
      <w:r>
        <w:rPr>
          <w:rFonts w:ascii="Times New Roman" w:hAnsi="Times New Roman" w:eastAsia="SimSun"/>
          <w:sz w:val="22"/>
        </w:rPr>
        <w:t xml:space="preserve"> is interpretable.</w:t>
      </w:r>
    </w:p>
    <w:p>
      <w:pPr>
        <w:pStyle w:val="ListNumber"/>
        <w:spacing w:line="360" w:lineRule="auto"/>
      </w:pPr>
      <w:r>
        <w:rPr>
          <w:rFonts w:ascii="Times New Roman" w:hAnsi="Times New Roman" w:eastAsia="SimSun"/>
          <w:b/>
          <w:sz w:val="22"/>
        </w:rPr>
        <w:t>State the threat model, including whether the attacker knows the defense.</w:t>
      </w:r>
      <w:r>
        <w:rPr>
          <w:rFonts w:ascii="Times New Roman" w:hAnsi="Times New Roman" w:eastAsia="SimSun"/>
          <w:sz w:val="22"/>
        </w:rPr>
        <w:t xml:space="preserve"> A claim of robustness without this qualifier is uninterpretable, and it is the qualifier that separates the two evaluations in §5.2 and §5.6.</w:t>
      </w:r>
    </w:p>
    <w:p>
      <w:pPr>
        <w:pStyle w:val="ListNumber"/>
        <w:spacing w:line="360" w:lineRule="auto"/>
      </w:pPr>
      <w:r>
        <w:rPr>
          <w:rFonts w:ascii="Times New Roman" w:hAnsi="Times New Roman" w:eastAsia="SimSun"/>
          <w:b/>
          <w:sz w:val="22"/>
        </w:rPr>
        <w:t>Report adversarial inclusion as a function of attacker strength, not at one operating point.</w:t>
      </w:r>
      <w:r>
        <w:rPr>
          <w:rFonts w:ascii="Times New Roman" w:hAnsi="Times New Roman" w:eastAsia="SimSun"/>
          <w:sz w:val="22"/>
        </w:rPr>
        <w:t xml:space="preserve"> A single value cannot distinguish a defense that is robust from one evaluated below its failure threshold. In our sweep every defense fails by $\lambda = 2$; a sweep stopping at $\lambda = 0.25$ would have shown three apparently robust defenses.</w:t>
      </w:r>
    </w:p>
    <w:p>
      <w:pPr>
        <w:pStyle w:val="ListNumber"/>
        <w:spacing w:line="360" w:lineRule="auto"/>
      </w:pPr>
      <w:r>
        <w:rPr>
          <w:rFonts w:ascii="Times New Roman" w:hAnsi="Times New Roman" w:eastAsia="SimSun"/>
          <w:b/>
          <w:sz w:val="22"/>
        </w:rPr>
        <w:t>Sweep to the point of failure and report where it occurs.</w:t>
      </w:r>
      <w:r>
        <w:rPr>
          <w:rFonts w:ascii="Times New Roman" w:hAnsi="Times New Roman" w:eastAsia="SimSun"/>
          <w:sz w:val="22"/>
        </w:rPr>
        <w:t xml:space="preserve"> The location of the failure is the result; the endpoint alone is not.</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trivially achieves low inclusion by returning fewer or worse passages;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and report the attacker's optimal response to its expectation rather than to a sample. By Proposition 4, randomisation bounds the variance of the attacker's utility and not its mean.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and if it is, treat it as a constraint in the attacker's optimisation rather than as an unknown. This is Corollary 2, and in our experiments it is decisive for the defense that looked strongest statically: publishing a scoring function, which auditability requires, is equivalent to handing the attacker a differentiable objective.</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We do not claim these observations are novel in general; they are the standard reason adaptive evaluation is required, and they are why security venues expect it. The claim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[19],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A caveat we insist on, and a worked example of it from this paper.</w:t>
      </w:r>
      <w:r>
        <w:rPr>
          <w:rFonts w:ascii="Times New Roman" w:hAnsi="Times New Roman" w:eastAsia="SimSun"/>
          <w:sz w:val="22"/>
        </w:rPr>
        <w:t xml:space="preserve"> The per-group report is more sensitive than an aggregate, and sensitivity is not validity.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r>
        <w:rPr>
          <w:rFonts w:ascii="Times New Roman" w:hAnsi="Times New Roman" w:eastAsia="SimSun"/>
          <w:sz w:val="22"/>
        </w:rPr>
        <w:t xml:space="preserve"> Ten constraints bound what this study establishes. The table states</w:t>
      </w:r>
    </w:p>
    <w:p>
      <w:r>
        <w:rPr>
          <w:rFonts w:ascii="Times New Roman" w:hAnsi="Times New Roman" w:eastAsia="SimSun"/>
          <w:sz w:val="22"/>
        </w:rPr>
        <w:t>each one and what it costs; the full statement of each, with the measurements behind it,</w:t>
      </w:r>
    </w:p>
    <w:p>
      <w:r>
        <w:rPr>
          <w:rFonts w:ascii="Times New Roman" w:hAnsi="Times New Roman" w:eastAsia="SimSun"/>
          <w:sz w:val="22"/>
        </w:rPr>
        <w:t>is in Appendix 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w:t>
            </w:r>
          </w:p>
        </w:tc>
        <w:tc>
          <w:tcPr>
            <w:tcW w:type="dxa" w:w="3213"/>
            <w:shd w:val="clear" w:color="auto" w:fill="DCE6F1"/>
          </w:tcPr>
          <w:p>
            <w:pPr>
              <w:spacing w:line="240" w:lineRule="auto" w:after="0"/>
            </w:pPr>
            <w:r>
              <w:rPr>
                <w:rFonts w:ascii="Times New Roman" w:hAnsi="Times New Roman" w:eastAsia="SimSun"/>
                <w:b/>
                <w:sz w:val="19"/>
              </w:rPr>
              <w:t>Limitation</w:t>
            </w:r>
          </w:p>
        </w:tc>
        <w:tc>
          <w:tcPr>
            <w:tcW w:type="dxa" w:w="3213"/>
            <w:shd w:val="clear" w:color="auto" w:fill="DCE6F1"/>
          </w:tcPr>
          <w:p>
            <w:pPr>
              <w:spacing w:line="240" w:lineRule="auto" w:after="0"/>
            </w:pPr>
            <w:r>
              <w:rPr>
                <w:rFonts w:ascii="Times New Roman" w:hAnsi="Times New Roman" w:eastAsia="SimSun"/>
                <w:b/>
                <w:sz w:val="19"/>
              </w:rPr>
              <w:t>What it constrains, or what already handles it</w:t>
            </w:r>
          </w:p>
        </w:tc>
      </w:tr>
      <w:tr>
        <w:tc>
          <w:tcPr>
            <w:tcW w:type="dxa" w:w="3213"/>
          </w:tcPr>
          <w:p>
            <w:pPr>
              <w:spacing w:line="240" w:lineRule="auto" w:after="0"/>
            </w:pPr>
            <w:r>
              <w:rPr>
                <w:rFonts w:ascii="Times New Roman" w:hAnsi="Times New Roman" w:eastAsia="SimSun"/>
                <w:sz w:val="19"/>
              </w:rPr>
              <w:t>1</w:t>
            </w:r>
          </w:p>
        </w:tc>
        <w:tc>
          <w:tcPr>
            <w:tcW w:type="dxa" w:w="3213"/>
          </w:tcPr>
          <w:p>
            <w:pPr>
              <w:spacing w:line="240" w:lineRule="auto" w:after="0"/>
            </w:pPr>
            <w:r>
              <w:rPr>
                <w:rFonts w:ascii="Times New Roman" w:hAnsi="Times New Roman" w:eastAsia="SimSun"/>
                <w:b/>
                <w:sz w:val="19"/>
              </w:rPr>
              <w:t>Group- and stance-annotated passages are required, and neutral retrieval corpora do not carry them</w:t>
            </w:r>
          </w:p>
        </w:tc>
        <w:tc>
          <w:tcPr>
            <w:tcW w:type="dxa" w:w="3213"/>
          </w:tcPr>
          <w:p>
            <w:pPr>
              <w:spacing w:line="240" w:lineRule="auto" w:after="0"/>
            </w:pPr>
            <w:r>
              <w:rPr>
                <w:rFonts w:ascii="Times New Roman" w:hAnsi="Times New Roman" w:eastAsia="SimSun"/>
                <w:sz w:val="19"/>
              </w:rPr>
              <w:t>The binding constraint on this whole line of work: the framework's applicability is bounded by annotation, not computation. R1 needs a group label per passage and R2 a stance label, and no standard neutral corpus (NQ, MS MARCO) has either, nor can stance toward a group be inferred from a neutral passage. Described in full in Appendix D.1.</w:t>
            </w:r>
          </w:p>
        </w:tc>
      </w:tr>
      <w:tr>
        <w:tc>
          <w:tcPr>
            <w:tcW w:type="dxa" w:w="3213"/>
          </w:tcPr>
          <w:p>
            <w:pPr>
              <w:spacing w:line="240" w:lineRule="auto" w:after="0"/>
            </w:pPr>
            <w:r>
              <w:rPr>
                <w:rFonts w:ascii="Times New Roman" w:hAnsi="Times New Roman" w:eastAsia="SimSun"/>
                <w:sz w:val="19"/>
              </w:rPr>
              <w:t>2</w:t>
            </w:r>
          </w:p>
        </w:tc>
        <w:tc>
          <w:tcPr>
            <w:tcW w:type="dxa" w:w="3213"/>
          </w:tcPr>
          <w:p>
            <w:pPr>
              <w:spacing w:line="240" w:lineRule="auto" w:after="0"/>
            </w:pPr>
            <w:r>
              <w:rPr>
                <w:rFonts w:ascii="Times New Roman" w:hAnsi="Times New Roman" w:eastAsia="SimSun"/>
                <w:b/>
                <w:sz w:val="19"/>
              </w:rPr>
              <w:t>Neither corpus is a neutral retrieval benchmark, and they disagree in two respects</w:t>
            </w:r>
          </w:p>
        </w:tc>
        <w:tc>
          <w:tcPr>
            <w:tcW w:type="dxa" w:w="3213"/>
          </w:tcPr>
          <w:p>
            <w:pPr>
              <w:spacing w:line="240" w:lineRule="auto" w:after="0"/>
            </w:pPr>
            <w:r>
              <w:rPr>
                <w:rFonts w:ascii="Times New Roman" w:hAnsi="Times New Roman" w:eastAsia="SimSun"/>
                <w:sz w:val="19"/>
              </w:rPr>
              <w:t>The text-only attack works only on the controlled corpus; the R2 constraint reduces inclusion only on BBQ. Both conditions are reported rather than the favourable one, and the mechanism behind the first disagreement is identified (§5.4).</w:t>
            </w:r>
          </w:p>
        </w:tc>
      </w:tr>
      <w:tr>
        <w:tc>
          <w:tcPr>
            <w:tcW w:type="dxa" w:w="3213"/>
          </w:tcPr>
          <w:p>
            <w:pPr>
              <w:spacing w:line="240" w:lineRule="auto" w:after="0"/>
            </w:pPr>
            <w:r>
              <w:rPr>
                <w:rFonts w:ascii="Times New Roman" w:hAnsi="Times New Roman" w:eastAsia="SimSun"/>
                <w:sz w:val="19"/>
              </w:rPr>
              <w:t>3</w:t>
            </w:r>
          </w:p>
        </w:tc>
        <w:tc>
          <w:tcPr>
            <w:tcW w:type="dxa" w:w="3213"/>
          </w:tcPr>
          <w:p>
            <w:pPr>
              <w:spacing w:line="240" w:lineRule="auto" w:after="0"/>
            </w:pPr>
            <w:r>
              <w:rPr>
                <w:rFonts w:ascii="Times New Roman" w:hAnsi="Times New Roman" w:eastAsia="SimSun"/>
                <w:b/>
                <w:sz w:val="19"/>
              </w:rPr>
              <w:t>The absolute R2 metric does not transfer across corpora</w:t>
            </w:r>
          </w:p>
        </w:tc>
        <w:tc>
          <w:tcPr>
            <w:tcW w:type="dxa" w:w="3213"/>
          </w:tcPr>
          <w:p>
            <w:pPr>
              <w:spacing w:line="240" w:lineRule="auto" w:after="0"/>
            </w:pPr>
            <w:r>
              <w:rPr>
                <w:rFonts w:ascii="Consolas" w:hAnsi="Consolas" w:eastAsia="Consolas"/>
                <w:sz w:val="18"/>
              </w:rPr>
              <w:t>stance_gap</w:t>
            </w:r>
            <w:r>
              <w:rPr>
                <w:rFonts w:ascii="Times New Roman" w:hAnsi="Times New Roman" w:eastAsia="SimSun"/>
                <w:sz w:val="19"/>
              </w:rPr>
              <w:t xml:space="preserve"> is exactly 0 on the balanced controlled corpus but 0.9326 on BBQ </w:t>
            </w:r>
            <w:r>
              <w:rPr>
                <w:rFonts w:ascii="Times New Roman" w:hAnsi="Times New Roman" w:eastAsia="SimSun"/>
                <w:i/>
                <w:sz w:val="19"/>
              </w:rPr>
              <w:t>before any attack</w:t>
            </w:r>
            <w:r>
              <w:rPr>
                <w:rFonts w:ascii="Times New Roman" w:hAnsi="Times New Roman" w:eastAsia="SimSun"/>
                <w:sz w:val="19"/>
              </w:rPr>
              <w:t>. Only the change from the clean baseline is informative there, and §5.4 relies on the change throughout.</w:t>
            </w:r>
          </w:p>
        </w:tc>
      </w:tr>
      <w:tr>
        <w:tc>
          <w:tcPr>
            <w:tcW w:type="dxa" w:w="3213"/>
          </w:tcPr>
          <w:p>
            <w:pPr>
              <w:spacing w:line="240" w:lineRule="auto" w:after="0"/>
            </w:pPr>
            <w:r>
              <w:rPr>
                <w:rFonts w:ascii="Times New Roman" w:hAnsi="Times New Roman" w:eastAsia="SimSun"/>
                <w:sz w:val="19"/>
              </w:rPr>
              <w:t>4</w:t>
            </w:r>
          </w:p>
        </w:tc>
        <w:tc>
          <w:tcPr>
            <w:tcW w:type="dxa" w:w="3213"/>
          </w:tcPr>
          <w:p>
            <w:pPr>
              <w:spacing w:line="240" w:lineRule="auto" w:after="0"/>
            </w:pPr>
            <w:r>
              <w:rPr>
                <w:rFonts w:ascii="Times New Roman" w:hAnsi="Times New Roman" w:eastAsia="SimSun"/>
                <w:b/>
                <w:sz w:val="19"/>
              </w:rPr>
              <w:t>Injection budget must be reported as a rate, not a count</w:t>
            </w:r>
          </w:p>
        </w:tc>
        <w:tc>
          <w:tcPr>
            <w:tcW w:type="dxa" w:w="3213"/>
          </w:tcPr>
          <w:p>
            <w:pPr>
              <w:spacing w:line="240" w:lineRule="auto" w:after="0"/>
            </w:pPr>
            <w:r>
              <w:rPr>
                <w:rFonts w:ascii="Times New Roman" w:hAnsi="Times New Roman" w:eastAsia="SimSun"/>
                <w:sz w:val="19"/>
              </w:rPr>
              <w:t>A fixed count measures corpus size rather than attack strength. §5.4 sweeps $\rho \in \{0.1\%, \dots, 2\%\}$; readers comparing against absolute counts must convert.</w:t>
            </w:r>
          </w:p>
        </w:tc>
      </w:tr>
      <w:tr>
        <w:tc>
          <w:tcPr>
            <w:tcW w:type="dxa" w:w="3213"/>
          </w:tcPr>
          <w:p>
            <w:pPr>
              <w:spacing w:line="240" w:lineRule="auto" w:after="0"/>
            </w:pPr>
            <w:r>
              <w:rPr>
                <w:rFonts w:ascii="Times New Roman" w:hAnsi="Times New Roman" w:eastAsia="SimSun"/>
                <w:sz w:val="19"/>
              </w:rPr>
              <w:t>5</w:t>
            </w:r>
          </w:p>
        </w:tc>
        <w:tc>
          <w:tcPr>
            <w:tcW w:type="dxa" w:w="3213"/>
          </w:tcPr>
          <w:p>
            <w:pPr>
              <w:spacing w:line="240" w:lineRule="auto" w:after="0"/>
            </w:pPr>
            <w:r>
              <w:rPr>
                <w:rFonts w:ascii="Times New Roman" w:hAnsi="Times New Roman" w:eastAsia="SimSun"/>
                <w:b/>
                <w:sz w:val="19"/>
              </w:rPr>
              <w:t>Nine retrieval back-ends, and the scale check changed the conclusion</w:t>
            </w:r>
          </w:p>
        </w:tc>
        <w:tc>
          <w:tcPr>
            <w:tcW w:type="dxa" w:w="3213"/>
          </w:tcPr>
          <w:p>
            <w:pPr>
              <w:spacing w:line="240" w:lineRule="auto" w:after="0"/>
            </w:pPr>
            <w:r>
              <w:rPr>
                <w:rFonts w:ascii="Times New Roman" w:hAnsi="Times New Roman" w:eastAsia="SimSun"/>
                <w:sz w:val="19"/>
              </w:rPr>
              <w:t>GTE-base → GTE-large moves susceptibility from 0.0625 to 0.5000 within one family and recipe, so a single-encoder robustness claim reports an unmeasured checkpoint property (§5.5). Contriever is not swept at large scale and multilingual or instruction-tuned embedders are not tested.</w:t>
            </w:r>
          </w:p>
        </w:tc>
      </w:tr>
      <w:tr>
        <w:tc>
          <w:tcPr>
            <w:tcW w:type="dxa" w:w="3213"/>
          </w:tcPr>
          <w:p>
            <w:pPr>
              <w:spacing w:line="240" w:lineRule="auto" w:after="0"/>
            </w:pPr>
            <w:r>
              <w:rPr>
                <w:rFonts w:ascii="Times New Roman" w:hAnsi="Times New Roman" w:eastAsia="SimSun"/>
                <w:sz w:val="19"/>
              </w:rPr>
              <w:t>6</w:t>
            </w:r>
          </w:p>
        </w:tc>
        <w:tc>
          <w:tcPr>
            <w:tcW w:type="dxa" w:w="3213"/>
          </w:tcPr>
          <w:p>
            <w:pPr>
              <w:spacing w:line="240" w:lineRule="auto" w:after="0"/>
            </w:pPr>
            <w:r>
              <w:rPr>
                <w:rFonts w:ascii="Times New Roman" w:hAnsi="Times New Roman" w:eastAsia="SimSun"/>
                <w:b/>
                <w:sz w:val="19"/>
              </w:rPr>
              <w:t>The generation-stage evaluation is multi-generator and multi-probe, and the probes disagree</w:t>
            </w:r>
          </w:p>
        </w:tc>
        <w:tc>
          <w:tcPr>
            <w:tcW w:type="dxa" w:w="3213"/>
          </w:tcPr>
          <w:p>
            <w:pPr>
              <w:spacing w:line="240" w:lineRule="auto" w:after="0"/>
            </w:pPr>
            <w:r>
              <w:rPr>
                <w:rFonts w:ascii="Times New Roman" w:hAnsi="Times New Roman" w:eastAsia="SimSun"/>
                <w:sz w:val="19"/>
              </w:rPr>
              <w:t>Three sub-limits, each with a measurement behind it: retrieval conditions are fixed to one backbone; the free-form probe commits to a position in only 15.6\% (controlled) and 1.0\% (BBQ) of cases, which is why the forced-choice probe is primary; and the effect is generator-dependent. Appendix D.6 also records the inverted-context negative control and a corrected attribution metric.</w:t>
            </w:r>
          </w:p>
        </w:tc>
      </w:tr>
      <w:tr>
        <w:tc>
          <w:tcPr>
            <w:tcW w:type="dxa" w:w="3213"/>
          </w:tcPr>
          <w:p>
            <w:pPr>
              <w:spacing w:line="240" w:lineRule="auto" w:after="0"/>
            </w:pPr>
            <w:r>
              <w:rPr>
                <w:rFonts w:ascii="Times New Roman" w:hAnsi="Times New Roman" w:eastAsia="SimSun"/>
                <w:sz w:val="19"/>
              </w:rPr>
              <w:t>7</w:t>
            </w:r>
          </w:p>
        </w:tc>
        <w:tc>
          <w:tcPr>
            <w:tcW w:type="dxa" w:w="3213"/>
          </w:tcPr>
          <w:p>
            <w:pPr>
              <w:spacing w:line="240" w:lineRule="auto" w:after="0"/>
            </w:pPr>
            <w:r>
              <w:rPr>
                <w:rFonts w:ascii="Times New Roman" w:hAnsi="Times New Roman" w:eastAsia="SimSun"/>
                <w:b/>
                <w:sz w:val="19"/>
              </w:rPr>
              <w:t>Binary groups: $\vert\mathcal{G}\vert = 2$ throughout</w:t>
            </w:r>
          </w:p>
        </w:tc>
        <w:tc>
          <w:tcPr>
            <w:tcW w:type="dxa" w:w="3213"/>
          </w:tcPr>
          <w:p>
            <w:pPr>
              <w:spacing w:line="240" w:lineRule="auto" w:after="0"/>
            </w:pPr>
            <w:r>
              <w:rPr>
                <w:rFonts w:ascii="Times New Roman" w:hAnsi="Times New Roman" w:eastAsia="SimSun"/>
                <w:sz w:val="19"/>
              </w:rPr>
              <w:t>Extension to $\vert\mathcal{G}\vert &gt; 2$ is mechanical for R1 and R2 but is not evaluated here. BBQ's race/ethnicity category is also markedly imbalanced in our build (960 vs 88 passages).</w:t>
            </w:r>
          </w:p>
        </w:tc>
      </w:tr>
    </w:tbl>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structurally insensitive to the attack they are meant to detect, that the insensitivity has one identifiable cause, and that the defense failure which follows is a consequence of the measurement failure rather than a separate phenomenon.</w:t>
      </w:r>
    </w:p>
    <w:p>
      <w:r>
        <w:rPr>
          <w:rFonts w:ascii="Times New Roman" w:hAnsi="Times New Roman" w:eastAsia="SimSun"/>
          <w:sz w:val="22"/>
        </w:rPr>
        <w:t>The cause is that the attack balances what these statistics count and relocates what they difference. Pairwise poisoning — the natural adversarial construction, in which injected passages reuse the legitimate template inventory in matched pairs — is balanced in group composition by construction, so every composition statistic reads clean. And because it moves both groups rather than opening a gap between them, any statistic computed as an absolute difference between groups is dominated by the corpus's pre-existing asymmetry and is likewise blind. The diagnostic is the per-group shift. We identify this at the retrieval layer, where two of three candidate stance statistics are flat across the clean and fully attacked conditions, and then again at the generation layer in our own first measurement of propagation, where the absolute gap moved by less than 0.002 while the per-group shifts moved by 0.13 at $p \le 0.0035$. Reporting the second occurrence against ourselves is part of the argument: the error is not exotic, it is the natural first thing to compute.</w:t>
      </w:r>
    </w:p>
    <w:p>
      <w:r>
        <w:rPr>
          <w:rFonts w:ascii="Times New Roman" w:hAnsi="Times New Roman" w:eastAsia="SimSun"/>
          <w:sz w:val="22"/>
        </w:rPr>
        <w:t>The practical consequence is that the R1-only defense is not weak but inert, and we state this as a ceiling rather than as a null that further data might overturn. The unconstrained baseline already admits adversarial passages on every query where it can, so no reduction is available even in principle; the per-query difference is identically zero and the equivalence bound is exactly ±0.0000. That is not because the constraint cannot change the selection — it can, and does — but because changing which passages are selected does not displace a single adversarial one. Extending the constraint to a second dimension improves the statistic it measures without changing adversarial inclusion. The problem is therefore not one of optimisation but of detection, and it requires evidence about individual passages rather than about the set they belong to.</w:t>
      </w:r>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 and produced a spurious conclusion in our own earlier experiment.</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easy and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§5.2.</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§5.2 reports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We suggest that points 1–4 are prerequisites for a fairness statistic to be reported at all under adversarial conditions, and points 5–9 for a robustness claim to be credited.</w:t>
      </w:r>
    </w:p>
    <w:p>
      <w:r>
        <w:rPr>
          <w:rFonts w:ascii="Times New Roman" w:hAnsi="Times New Roman" w:eastAsia="SimSun"/>
          <w:sz w:val="22"/>
        </w:rPr>
        <w:t>We have reported an exploratory provenance signal in the direction the protocol implies — evidence about individual passages rather than about aggregates —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Note for double-anonymized submission.</w:t>
      </w:r>
      <w:r>
        <w:rPr>
          <w:rFonts w:ascii="Times New Roman" w:hAnsi="Times New Roman" w:eastAsia="SimSun"/>
          <w:sz w:val="22"/>
        </w:rPr>
        <w:t xml:space="preserve"> The repository URL above carries the author's username, and the submitting author's email shares that username. For any venue using double-anonymized review, submit this section with the URL replaced by </w:t>
      </w:r>
      <w:r>
        <w:rPr>
          <w:rFonts w:ascii="Consolas" w:hAnsi="Consolas" w:eastAsia="Consolas"/>
          <w:sz w:val="21"/>
        </w:rPr>
        <w:t>[anonymized repository]</w:t>
      </w:r>
      <w:r>
        <w:rPr>
          <w:rFonts w:ascii="Times New Roman" w:hAnsi="Times New Roman" w:eastAsia="SimSun"/>
          <w:sz w:val="22"/>
        </w:rPr>
        <w:t>, keep the software-availability details, and restore the link in the camera-ready version. Nothing else in the manuscript identifies the author.</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12;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r>
        <w:rPr>
          <w:rFonts w:ascii="Times New Roman" w:hAnsi="Times New Roman" w:eastAsia="SimSun"/>
          <w:b/>
          <w:sz w:val="22"/>
        </w:rPr>
        <w:t>Table C6.</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b/>
          <w:sz w:val="22"/>
        </w:rPr>
        <w:t>Table C7.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b/>
          <w:sz w:val="22"/>
        </w:rPr>
        <w:t>Table C8.</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b/>
          <w:sz w:val="22"/>
        </w:rPr>
        <w:t>Table C9.</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pPr>
        <w:spacing w:before="240" w:after="120"/>
      </w:pPr>
      <w:r>
        <w:rPr>
          <w:rFonts w:ascii="Times New Roman" w:hAnsi="Times New Roman" w:eastAsia="Microsoft YaHei"/>
          <w:b/>
          <w:sz w:val="28"/>
        </w:rPr>
        <w:t>Appendix D. Limitations in full</w:t>
      </w:r>
    </w:p>
    <w:p>
      <w:r>
        <w:rPr>
          <w:rFonts w:ascii="Times New Roman" w:hAnsi="Times New Roman" w:eastAsia="SimSun"/>
          <w:sz w:val="22"/>
        </w:rPr>
        <w:t>The body states each limitation in one line and what it costs; this appendix states them in full, with the measurements behind each. The numbering matches the body table.</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References</w:t>
      </w:r>
    </w:p>
    <w:p>
      <w:r>
        <w:rPr>
          <w:rFonts w:ascii="Times New Roman" w:hAnsi="Times New Roman" w:eastAsia="SimSun"/>
          <w:b/>
          <w:sz w:val="22"/>
        </w:rPr>
        <w:t>Declaration of generative AI and AI-assisted technologies in the manuscript preparation process.</w:t>
      </w:r>
      <w:r>
        <w:rPr>
          <w:rFonts w:ascii="Times New Roman" w:hAnsi="Times New Roman" w:eastAsia="SimSun"/>
          <w:sz w:val="22"/>
        </w:rPr>
        <w:t xml:space="preserve"> During the preparation of this work the author used DeepSeek Harness (deepseek-flash) in order to search and verify bibliographic metadata, draft and revise prose, and produce one conceptual schematic figure of the framework from a description supplied by the author. After using this tool, the author reviewed and edited all output, verified every citation against the primary source, and takes full responsibility for the content of the publication.</w:t>
      </w:r>
    </w:p>
    <w:p>
      <w:r>
        <w:rPr>
          <w:rFonts w:ascii="Times New Roman" w:hAnsi="Times New Roman" w:eastAsia="SimSun"/>
          <w:b/>
          <w:sz w:val="22"/>
        </w:rPr>
        <w:t>On the tooling used for the research itself.</w:t>
      </w:r>
      <w:r>
        <w:rPr>
          <w:rFonts w:ascii="Times New Roman" w:hAnsi="Times New Roman" w:eastAsia="SimSun"/>
          <w:sz w:val="22"/>
        </w:rPr>
        <w:t xml:space="preserve"> The generator outputs analysed in §5.7 were produced by the DeepSeek and Qwen API models and by a local Mistral-7B checkpoint, exactly as stated in §5.7 and Appendix D.6. No other AI tool contributed to the research procedure.</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[15]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[16]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[17] A. Z. Jacobs, H. Wallach. Measurement and fairness. </w:t>
      </w:r>
      <w:r>
        <w:rPr>
          <w:rFonts w:ascii="Times New Roman" w:hAnsi="Times New Roman" w:eastAsia="SimSun"/>
          <w:i/>
          <w:sz w:val="22"/>
        </w:rPr>
        <w:t>ACM Conference on Fairness, Accountability, and Transparency (FAccT)</w:t>
      </w:r>
      <w:r>
        <w:rPr>
          <w:rFonts w:ascii="Times New Roman" w:hAnsi="Times New Roman" w:eastAsia="SimSun"/>
          <w:sz w:val="22"/>
        </w:rPr>
        <w:t>, pp. 375–385, 2021.</w:t>
      </w:r>
    </w:p>
    <w:p>
      <w:r>
        <w:rPr>
          <w:rFonts w:ascii="Times New Roman" w:hAnsi="Times New Roman" w:eastAsia="SimSun"/>
          <w:sz w:val="22"/>
        </w:rPr>
        <w:t xml:space="preserve">[18] M. D. Ekstrand, A. Das, R. Burke, F. Diaz. Fairness in information access systems. </w:t>
      </w:r>
      <w:r>
        <w:rPr>
          <w:rFonts w:ascii="Times New Roman" w:hAnsi="Times New Roman" w:eastAsia="SimSun"/>
          <w:i/>
          <w:sz w:val="22"/>
        </w:rPr>
        <w:t>Foundations and Trends in Information Retrieval</w:t>
      </w:r>
      <w:r>
        <w:rPr>
          <w:rFonts w:ascii="Times New Roman" w:hAnsi="Times New Roman" w:eastAsia="SimSun"/>
          <w:sz w:val="22"/>
        </w:rPr>
        <w:t>, vol. 16, no. 1–2, pp. 1–177, 2022.</w:t>
      </w:r>
    </w:p>
    <w:p>
      <w:r>
        <w:rPr>
          <w:rFonts w:ascii="Times New Roman" w:hAnsi="Times New Roman" w:eastAsia="SimSun"/>
          <w:sz w:val="22"/>
        </w:rPr>
        <w:t xml:space="preserve">[19]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[20] B. Efron, R. J. Tibshirani. </w:t>
      </w:r>
      <w:r>
        <w:rPr>
          <w:rFonts w:ascii="Times New Roman" w:hAnsi="Times New Roman" w:eastAsia="SimSun"/>
          <w:i/>
          <w:sz w:val="22"/>
        </w:rPr>
        <w:t>An Introduction to the Bootstrap</w:t>
      </w:r>
      <w:r>
        <w:rPr>
          <w:rFonts w:ascii="Times New Roman" w:hAnsi="Times New Roman" w:eastAsia="SimSun"/>
          <w:sz w:val="22"/>
        </w:rPr>
        <w:t>. Chapman &amp; Hall/CRC, 1993.</w:t>
      </w:r>
    </w:p>
    <w:p>
      <w:r>
        <w:rPr>
          <w:rFonts w:ascii="Times New Roman" w:hAnsi="Times New Roman" w:eastAsia="SimSun"/>
          <w:sz w:val="22"/>
        </w:rPr>
        <w:t xml:space="preserve">[21]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[22]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[23] B.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[24] F. Tramer,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