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Every such statistic has the same form — a per-group quantity aggregated across groups — and we show that an adversary who knows this can defeat the aggregation in exactly </w:t>
      </w:r>
      <w:r>
        <w:rPr>
          <w:rFonts w:ascii="Times New Roman" w:hAnsi="Times New Roman" w:eastAsia="SimSun"/>
          <w:b/>
          <w:sz w:val="22"/>
        </w:rPr>
        <w:t>three ways</w:t>
      </w:r>
      <w:r>
        <w:rPr>
          <w:rFonts w:ascii="Times New Roman" w:hAnsi="Times New Roman" w:eastAsia="SimSun"/>
          <w:sz w:val="22"/>
        </w:rPr>
        <w:t>, which together explain why the defenses built on these statistics fail:</w:t>
      </w:r>
    </w:p>
    <w:p>
      <w:pPr>
        <w:pStyle w:val="ListBullet"/>
        <w:spacing w:line="360" w:lineRule="auto"/>
      </w:pPr>
      <w:r>
        <w:rPr>
          <w:rFonts w:ascii="Times New Roman" w:hAnsi="Times New Roman" w:eastAsia="SimSun"/>
          <w:b/>
          <w:sz w:val="22"/>
        </w:rPr>
        <w:t>F1, balanced count.</w:t>
      </w:r>
      <w:r>
        <w:rPr>
          <w:rFonts w:ascii="Times New Roman" w:hAnsi="Times New Roman" w:eastAsia="SimSun"/>
          <w:sz w:val="22"/>
        </w:rPr>
        <w:t xml:space="preserve"> The injection contributes equally to every group, so any statistic over group counts returns its clean value.</w:t>
      </w:r>
    </w:p>
    <w:p>
      <w:pPr>
        <w:pStyle w:val="ListBullet"/>
        <w:spacing w:line="360" w:lineRule="auto"/>
      </w:pPr>
      <w:r>
        <w:rPr>
          <w:rFonts w:ascii="Times New Roman" w:hAnsi="Times New Roman" w:eastAsia="SimSun"/>
          <w:b/>
          <w:sz w:val="22"/>
        </w:rPr>
        <w:t>F2, preserved nuisance.</w:t>
      </w:r>
      <w:r>
        <w:rPr>
          <w:rFonts w:ascii="Times New Roman" w:hAnsi="Times New Roman" w:eastAsia="SimSun"/>
          <w:sz w:val="22"/>
        </w:rPr>
        <w:t xml:space="preserve"> The statistic is anchored to a reference the attack does not change, so it reports the component that varies with the query rather than the one that varies with the attack.</w:t>
      </w:r>
    </w:p>
    <w:p>
      <w:pPr>
        <w:pStyle w:val="ListBullet"/>
        <w:spacing w:line="360" w:lineRule="auto"/>
      </w:pPr>
      <w:r>
        <w:rPr>
          <w:rFonts w:ascii="Times New Roman" w:hAnsi="Times New Roman" w:eastAsia="SimSun"/>
          <w:b/>
          <w:sz w:val="22"/>
        </w:rPr>
        <w:t>F3, cancelled shift.</w:t>
      </w:r>
      <w:r>
        <w:rPr>
          <w:rFonts w:ascii="Times New Roman" w:hAnsi="Times New Roman" w:eastAsia="SimSun"/>
          <w:sz w:val="22"/>
        </w:rPr>
        <w:t xml:space="preserve"> The attack moves all groups together, so any difference between groups is unchanged however far the groups move.</w:t>
      </w:r>
    </w:p>
    <w:p>
      <w:r>
        <w:rPr>
          <w:rFonts w:ascii="Times New Roman" w:hAnsi="Times New Roman" w:eastAsia="SimSun"/>
          <w:sz w:val="22"/>
        </w:rPr>
        <w:t xml:space="preserve">The three modes are not a description but a </w:t>
      </w:r>
      <w:r>
        <w:rPr>
          <w:rFonts w:ascii="Times New Roman" w:hAnsi="Times New Roman" w:eastAsia="SimSun"/>
          <w:b/>
          <w:sz w:val="22"/>
        </w:rPr>
        <w:t>test</w:t>
      </w:r>
      <w:r>
        <w:rPr>
          <w:rFonts w:ascii="Times New Roman" w:hAnsi="Times New Roman" w:eastAsia="SimSun"/>
          <w:sz w:val="22"/>
        </w:rPr>
        <w:t xml:space="preserve">: each can be checked against a candidate statistic before any attack is built, and we use them to predict which existing metrics will be blind. To separate </w:t>
      </w:r>
      <w:r>
        <w:rPr>
          <w:rFonts w:ascii="Times New Roman" w:hAnsi="Times New Roman" w:eastAsia="SimSun"/>
          <w:i/>
          <w:sz w:val="22"/>
        </w:rPr>
        <w:t>blind to this adversary</w:t>
      </w:r>
      <w:r>
        <w:rPr>
          <w:rFonts w:ascii="Times New Roman" w:hAnsi="Times New Roman" w:eastAsia="SimSun"/>
          <w:sz w:val="22"/>
        </w:rPr>
        <w:t xml:space="preserve"> from </w:t>
      </w:r>
      <w:r>
        <w:rPr>
          <w:rFonts w:ascii="Times New Roman" w:hAnsi="Times New Roman" w:eastAsia="SimSun"/>
          <w:i/>
          <w:sz w:val="22"/>
        </w:rPr>
        <w:t>broken instrument</w:t>
      </w:r>
      <w:r>
        <w:rPr>
          <w:rFonts w:ascii="Times New Roman" w:hAnsi="Times New Roman" w:eastAsia="SimSun"/>
          <w:sz w:val="22"/>
        </w:rPr>
        <w:t>, we add a positive control in which the ground truth changes by a known amount and the same statistics must respond: they do, monotonically and in the right direction.</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on our controlled corpus, injection moves the suppressed group's stance by −0.13 to −0.18 and the favoured group's by +0.13, consistently across </w:t>
      </w:r>
      <w:r>
        <w:rPr>
          <w:rFonts w:ascii="Times New Roman" w:hAnsi="Times New Roman" w:eastAsia="SimSun"/>
          <w:b/>
          <w:sz w:val="22"/>
        </w:rPr>
        <w:t>four generators spanning three model families</w:t>
      </w:r>
      <w:r>
        <w:rPr>
          <w:rFonts w:ascii="Times New Roman" w:hAnsi="Times New Roman" w:eastAsia="SimSun"/>
          <w:sz w:val="22"/>
        </w:rPr>
        <w:t xml:space="preserve"> — API-served Qwen and DeepSeek models plus an open-weight Mistral-7B run locally — at $p \le 0.0035$ in all six per-group comparisons; the absolute gap moves by less than 0.002 for three of the four. We reproduced, one level up, the exact error we identify at the retrieval layer. </w:t>
      </w:r>
      <w:r>
        <w:rPr>
          <w:rFonts w:ascii="Times New Roman" w:hAnsi="Times New Roman" w:eastAsia="SimSun"/>
          <w:b/>
          <w:sz w:val="22"/>
        </w:rPr>
        <w:t>On a naturally written corpus the same effect is present, but only a probe that forces a commitment can see it.</w:t>
      </w:r>
      <w:r>
        <w:rPr>
          <w:rFonts w:ascii="Times New Roman" w:hAnsi="Times New Roman" w:eastAsia="SimSun"/>
          <w:sz w:val="22"/>
        </w:rPr>
        <w:t xml:space="preserve"> The free-form measurement returns nothing on the full BBQ benchmark, and the reason is the instrument rather than the phenomenon: 99.0% of the answers it scores take no position at all (mean commitment 0.007 against 0.156 on the controlled corpus), so no effect of any size could appear in it. Replacing it with a forced-choice probe on identical retrieval conditions detects the effect — five per-group shifts at $p &lt; 0.05$ for one generator, the largest at $+0.63$ — and shows that it is </w:t>
      </w:r>
      <w:r>
        <w:rPr>
          <w:rFonts w:ascii="Times New Roman" w:hAnsi="Times New Roman" w:eastAsia="SimSun"/>
          <w:b/>
          <w:sz w:val="22"/>
        </w:rPr>
        <w:t>group-specific and generator-dependent</w:t>
      </w:r>
      <w:r>
        <w:rPr>
          <w:rFonts w:ascii="Times New Roman" w:hAnsi="Times New Roman" w:eastAsia="SimSun"/>
          <w:sz w:val="22"/>
        </w:rPr>
        <w:t>, which is why reporting a single averaged gap understated it. This free-form probe is the third instrument failure the paper documents.</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1" name="Picture 1"/>
            <wp:cNvGraphicFramePr>
              <a:graphicFrameLocks noChangeAspect="1"/>
            </wp:cNvGraphicFramePr>
            <a:graphic>
              <a:graphicData uri="http://schemas.openxmlformats.org/drawingml/2006/picture">
                <pic:pic>
                  <pic:nvPicPr>
                    <pic:cNvPr id="0" name="fig_responsiveness.png"/>
                    <pic:cNvPicPr/>
                  </pic:nvPicPr>
                  <pic:blipFill>
                    <a:blip r:embed="rId9"/>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512346"/>
            <wp:docPr id="2" name="Picture 2"/>
            <wp:cNvGraphicFramePr>
              <a:graphicFrameLocks noChangeAspect="1"/>
            </wp:cNvGraphicFramePr>
            <a:graphic>
              <a:graphicData uri="http://schemas.openxmlformats.org/drawingml/2006/picture">
                <pic:pic>
                  <pic:nvPicPr>
                    <pic:cNvPr id="0" name="fig_r1_inertness.png"/>
                    <pic:cNvPicPr/>
                  </pic:nvPicPr>
                  <pic:blipFill>
                    <a:blip r:embed="rId10"/>
                    <a:stretch>
                      <a:fillRect/>
                    </a:stretch>
                  </pic:blipFill>
                  <pic:spPr>
                    <a:xfrm>
                      <a:off x="0" y="0"/>
                      <a:ext cx="3168000" cy="1512346"/>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1872139"/>
            <wp:docPr id="3" name="Picture 3"/>
            <wp:cNvGraphicFramePr>
              <a:graphicFrameLocks noChangeAspect="1"/>
            </wp:cNvGraphicFramePr>
            <a:graphic>
              <a:graphicData uri="http://schemas.openxmlformats.org/drawingml/2006/picture">
                <pic:pic>
                  <pic:nvPicPr>
                    <pic:cNvPr id="0" name="fig_encoder_scale.png"/>
                    <pic:cNvPicPr/>
                  </pic:nvPicPr>
                  <pic:blipFill>
                    <a:blip r:embed="rId11"/>
                    <a:stretch>
                      <a:fillRect/>
                    </a:stretch>
                  </pic:blipFill>
                  <pic:spPr>
                    <a:xfrm>
                      <a:off x="0" y="0"/>
                      <a:ext cx="3168000" cy="1872139"/>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b/>
          <w:sz w:val="22"/>
        </w:rPr>
        <w:t>Table 10.</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b/>
          <w:sz w:val="22"/>
        </w:rPr>
        <w:t>Table 11.</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11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4" name="Picture 4"/>
            <wp:cNvGraphicFramePr>
              <a:graphicFrameLocks noChangeAspect="1"/>
            </wp:cNvGraphicFramePr>
            <a:graphic>
              <a:graphicData uri="http://schemas.openxmlformats.org/drawingml/2006/picture">
                <pic:pic>
                  <pic:nvPicPr>
                    <pic:cNvPr id="0" name="fig_aggregate_vs_pergroup.png"/>
                    <pic:cNvPicPr/>
                  </pic:nvPicPr>
                  <pic:blipFill>
                    <a:blip r:embed="rId12"/>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A caveat we insist on, and a worked example of it from this paper.</w:t>
      </w:r>
      <w:r>
        <w:rPr>
          <w:rFonts w:ascii="Times New Roman" w:hAnsi="Times New Roman" w:eastAsia="SimSun"/>
          <w:sz w:val="22"/>
        </w:rPr>
        <w:t xml:space="preserve"> The per-group report is more sensitive than an aggregate, and sensitivity is not validity.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