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We show that these statistics are </w:t>
      </w:r>
      <w:r>
        <w:rPr>
          <w:rFonts w:ascii="Times New Roman" w:hAnsi="Times New Roman" w:eastAsia="SimSun"/>
          <w:b/>
          <w:sz w:val="22"/>
        </w:rPr>
        <w:t>blind to the attack they are meant to detect</w:t>
      </w:r>
      <w:r>
        <w:rPr>
          <w:rFonts w:ascii="Times New Roman" w:hAnsi="Times New Roman" w:eastAsia="SimSun"/>
          <w:sz w:val="22"/>
        </w:rPr>
        <w:t>, and we identify the property they all share that makes them blind.</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injection moves the suppressed group's stance by −0.13 to −0.18 and the favoured group's by +0.13, consistently across </w:t>
      </w:r>
      <w:r>
        <w:rPr>
          <w:rFonts w:ascii="Times New Roman" w:hAnsi="Times New Roman" w:eastAsia="SimSun"/>
          <w:b/>
          <w:sz w:val="22"/>
        </w:rPr>
        <w:t>three generators from two model families</w:t>
      </w:r>
      <w:r>
        <w:rPr>
          <w:rFonts w:ascii="Times New Roman" w:hAnsi="Times New Roman" w:eastAsia="SimSun"/>
          <w:sz w:val="22"/>
        </w:rPr>
        <w:t xml:space="preserve"> at $p \le 0.0035$; the absolute gap moves by less than 0.002 for two of the three. We reproduced, one level up, the exact error we identify at the retrieval layer.</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and an analysis of which aggregate statistics are sensitive to it (§3, §5.1).</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3.</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4.</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6.</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7.</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8.</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8's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9.</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10.</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10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The retrieval-layer skew propagates to the generated output, and it replicates across three independent model families — including an open-weight model run locally — but only when the two groups are measured separately.</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11.</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preliminary, and we now know specifically why.</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one backbone; it establishes that the retrieval skew reaches the output and that it saturates one group, but not the magnitude. Three concrete limits, all uncovered while building a larger evaluation:</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11;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