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at base size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 </w:t>
      </w:r>
      <w:r>
        <w:rPr>
          <w:rFonts w:ascii="Times New Roman" w:hAnsi="Times New Roman" w:eastAsia="SimSun"/>
          <w:b/>
          <w:sz w:val="22"/>
        </w:rPr>
        <w:t>The spread does not close with scale, and sparsity is a correlate rather than a law.</w:t>
      </w:r>
      <w:r>
        <w:rPr>
          <w:rFonts w:ascii="Times New Roman" w:hAnsi="Times New Roman" w:eastAsia="SimSun"/>
          <w:sz w:val="22"/>
        </w:rPr>
        <w:t xml:space="preserve"> Pairing each encoder with its larger sibling from the same family, E5-base-v2 → E5-large-v2 becomes </w:t>
      </w:r>
      <w:r>
        <w:rPr>
          <w:rFonts w:ascii="Times New Roman" w:hAnsi="Times New Roman" w:eastAsia="SimSun"/>
          <w:i/>
          <w:sz w:val="22"/>
        </w:rPr>
        <w:t>more</w:t>
      </w:r>
      <w:r>
        <w:rPr>
          <w:rFonts w:ascii="Times New Roman" w:hAnsi="Times New Roman" w:eastAsia="SimSun"/>
          <w:sz w:val="22"/>
        </w:rPr>
        <w:t xml:space="preserve"> resistant (0.0625 → 0.0000) while </w:t>
      </w:r>
      <w:r>
        <w:rPr>
          <w:rFonts w:ascii="Times New Roman" w:hAnsi="Times New Roman" w:eastAsia="SimSun"/>
          <w:b/>
          <w:sz w:val="22"/>
        </w:rPr>
        <w:t>GTE-base → GTE-large becomes eight times more susceptible (0.0625 → 0.5000)</w:t>
      </w:r>
      <w:r>
        <w:rPr>
          <w:rFonts w:ascii="Times New Roman" w:hAnsi="Times New Roman" w:eastAsia="SimSun"/>
          <w:sz w:val="22"/>
        </w:rPr>
        <w:t>, on identical data and with the only variable being the checkpoint. Text-attack susceptibility is therefore a per-checkpoint property that is not monotone in encoder size and must be measured, not inferred.</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Δ = 0.000 in all twelve constrained configurations measured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(§5.7), and we report this with a corrected instrument. Using a continuous entailment-based stance metric across three generators from two model families, injection shifts the suppressed group's stance by </w:t>
      </w:r>
      <w:r>
        <w:rPr>
          <w:rFonts w:ascii="Times New Roman" w:hAnsi="Times New Roman" w:eastAsia="SimSun"/>
          <w:b/>
          <w:sz w:val="22"/>
        </w:rPr>
        <w:t>−0.13 to −0.18</w:t>
      </w:r>
      <w:r>
        <w:rPr>
          <w:rFonts w:ascii="Times New Roman" w:hAnsi="Times New Roman" w:eastAsia="SimSun"/>
          <w:sz w:val="22"/>
        </w:rPr>
        <w:t xml:space="preserve"> and the favoured group's by </w:t>
      </w:r>
      <w:r>
        <w:rPr>
          <w:rFonts w:ascii="Times New Roman" w:hAnsi="Times New Roman" w:eastAsia="SimSun"/>
          <w:b/>
          <w:sz w:val="22"/>
        </w:rPr>
        <w:t>+0.13</w:t>
      </w:r>
      <w:r>
        <w:rPr>
          <w:rFonts w:ascii="Times New Roman" w:hAnsi="Times New Roman" w:eastAsia="SimSun"/>
          <w:sz w:val="22"/>
        </w:rPr>
        <w:t>, in every generator, at $p \le 0.0035$. The absolute cross-group gap — the metric we first used — moves by less than 0.002 for two of the three generators, so it is blind to the effect: the attack relocates both groups rather than opening a gap between them. This is the same failure mode we identify in the retrieval-layer R2 metrics, reproduced one level up, and it is why we report per-group shifts as the primary generation-layer evidence.</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pStyle w:val="ListNumber"/>
        <w:spacing w:line="360" w:lineRule="auto"/>
      </w:pPr>
      <w:r>
        <w:rPr>
          <w:rFonts w:ascii="Times New Roman" w:hAnsi="Times New Roman" w:eastAsia="SimSun"/>
          <w:sz w:val="22"/>
        </w:rPr>
        <w:t xml:space="preserve">A scale check that bounds contribution 6 and is itself the sharper result (§5.6): susceptibility is </w:t>
      </w:r>
      <w:r>
        <w:rPr>
          <w:rFonts w:ascii="Times New Roman" w:hAnsi="Times New Roman" w:eastAsia="SimSun"/>
          <w:b/>
          <w:sz w:val="22"/>
        </w:rPr>
        <w:t>not monotone in encoder size</w:t>
      </w:r>
      <w:r>
        <w:rPr>
          <w:rFonts w:ascii="Times New Roman" w:hAnsi="Times New Roman" w:eastAsia="SimSun"/>
          <w:sz w:val="22"/>
        </w:rPr>
        <w:t>. E5 becomes more resistant when enlarged while GTE becomes eight times more susceptible within the same family and training recipe, so susceptibility is a per-checkpoint property that must be measured rather than inferred from architecture, size, or sparsity.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0.250</w:t>
            </w:r>
          </w:p>
        </w:tc>
        <w:tc>
          <w:tcPr>
            <w:tcW w:type="dxa" w:w="1377"/>
          </w:tcPr>
          <w:p>
            <w:pPr>
              <w:spacing w:line="240" w:lineRule="auto" w:after="0"/>
            </w:pPr>
            <w:r>
              <w:rPr>
                <w:rFonts w:ascii="Times New Roman" w:hAnsi="Times New Roman" w:eastAsia="SimSun"/>
                <w:b/>
                <w:sz w:val="19"/>
              </w:rPr>
              <w:t>0.562</w:t>
            </w:r>
          </w:p>
        </w:tc>
        <w:tc>
          <w:tcPr>
            <w:tcW w:type="dxa" w:w="1377"/>
          </w:tcPr>
          <w:p>
            <w:pPr>
              <w:spacing w:line="240" w:lineRule="auto" w:after="0"/>
            </w:pPr>
            <w:r>
              <w:rPr>
                <w:rFonts w:ascii="Times New Roman" w:hAnsi="Times New Roman" w:eastAsia="SimSun"/>
                <w:sz w:val="19"/>
              </w:rPr>
              <w:t>0.812</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b/>
          <w:sz w:val="22"/>
        </w:rPr>
        <w:t>This finding has a measured boundary, and we state it here rather than burying it in the limitations.</w:t>
      </w:r>
      <w:r>
        <w:rPr>
          <w:rFonts w:ascii="Times New Roman" w:hAnsi="Times New Roman" w:eastAsia="SimSun"/>
          <w:sz w:val="22"/>
        </w:rPr>
        <w:t xml:space="preserve"> §5.6 pairs each of these encoders with its larger sibling from the same family and finds that sparsity predicts susceptibility </w:t>
      </w:r>
      <w:r>
        <w:rPr>
          <w:rFonts w:ascii="Times New Roman" w:hAnsi="Times New Roman" w:eastAsia="SimSun"/>
          <w:i/>
          <w:sz w:val="22"/>
        </w:rPr>
        <w:t>at a fixed scale</w:t>
      </w:r>
      <w:r>
        <w:rPr>
          <w:rFonts w:ascii="Times New Roman" w:hAnsi="Times New Roman" w:eastAsia="SimSun"/>
          <w:sz w:val="22"/>
        </w:rPr>
        <w:t xml:space="preserve"> but does not determine it: GTE-large is dense and semantic, yet is eight times more susceptible than GTE-base. Sparsity is therefore a strong correlate and a useful heuristic for choosing a back-end, not a law. The version of Finding 7 we are prepared to defend is the weaker one — </w:t>
      </w:r>
      <w:r>
        <w:rPr>
          <w:rFonts w:ascii="Times New Roman" w:hAnsi="Times New Roman" w:eastAsia="SimSun"/>
          <w:b/>
          <w:sz w:val="22"/>
        </w:rPr>
        <w:t>susceptibility is a property of the specific checkpoint and must be measured</w:t>
      </w:r>
      <w:r>
        <w:rPr>
          <w:rFonts w:ascii="Times New Roman" w:hAnsi="Times New Roman" w:eastAsia="SimSun"/>
          <w:sz w:val="22"/>
        </w:rPr>
        <w:t xml:space="preserve"> — with sparsity the best available predictor among the axes we varied.</w:t>
      </w:r>
    </w:p>
    <w:p>
      <w:r>
        <w:rPr>
          <w:rFonts w:ascii="Times New Roman" w:hAnsi="Times New Roman" w:eastAsia="SimSun"/>
          <w:sz w:val="22"/>
        </w:rPr>
        <w:t xml:space="preserve">Two consequences, and the second is the uncomfortable one. One observation is worth recording first because it surprised us: SPLADE is the </w:t>
      </w:r>
      <w:r>
        <w:rPr>
          <w:rFonts w:ascii="Times New Roman" w:hAnsi="Times New Roman" w:eastAsia="SimSun"/>
          <w:i/>
          <w:sz w:val="22"/>
        </w:rPr>
        <w:t>most</w:t>
      </w:r>
      <w:r>
        <w:rPr>
          <w:rFonts w:ascii="Times New Roman" w:hAnsi="Times New Roman" w:eastAsia="SimSun"/>
          <w:sz w:val="22"/>
        </w:rPr>
        <w:t xml:space="preserve"> efficiently attacked of the six on the R2 dimension, reaching the maximum stance gap 1.0000 against a text-only attack where BM25 reaches only 0.7436 — its learned term weighting evidently concentrates score on exactly the terms the attacker appends.</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Encoder scale: susceptibility is not a smooth function of size</w:t>
      </w:r>
    </w:p>
    <w:p>
      <w:r>
        <w:rPr>
          <w:rFonts w:ascii="Times New Roman" w:hAnsi="Times New Roman" w:eastAsia="SimSun"/>
          <w:sz w:val="22"/>
        </w:rPr>
        <w:t xml:space="preserve">The backbone comparison above covers six retrievers at </w:t>
      </w:r>
      <w:r>
        <w:rPr>
          <w:rFonts w:ascii="Times New Roman" w:hAnsi="Times New Roman" w:eastAsia="SimSun"/>
          <w:i/>
          <w:sz w:val="22"/>
        </w:rPr>
        <w:t>base</w:t>
      </w:r>
      <w:r>
        <w:rPr>
          <w:rFonts w:ascii="Times New Roman" w:hAnsi="Times New Roman" w:eastAsia="SimSun"/>
          <w:sz w:val="22"/>
        </w:rPr>
        <w:t xml:space="preserve"> size. A natural objection is that encoder choice is a nuisance parameter of the implementation rather than a finding — that a larger checkpoint, being better trained, would simply be more robust, and that the spread would narrow. An earlier draft of this paper asserted as much, predicting that larger checkpoints "give no reason to expect agreement" without measuring it. We have now measured it, and </w:t>
      </w:r>
      <w:r>
        <w:rPr>
          <w:rFonts w:ascii="Times New Roman" w:hAnsi="Times New Roman" w:eastAsia="SimSun"/>
          <w:b/>
          <w:sz w:val="22"/>
        </w:rPr>
        <w:t>the prediction was right in direction but far too weak in magnitude: scaling up flips one encoder family from resistant to susceptible.</w:t>
      </w:r>
    </w:p>
    <w:p>
      <w:r>
        <w:rPr>
          <w:rFonts w:ascii="Times New Roman" w:hAnsi="Times New Roman" w:eastAsia="SimSun"/>
          <w:sz w:val="22"/>
        </w:rPr>
        <w:t xml:space="preserve">We pair each base encoder with its larger sibling from the </w:t>
      </w:r>
      <w:r>
        <w:rPr>
          <w:rFonts w:ascii="Times New Roman" w:hAnsi="Times New Roman" w:eastAsia="SimSun"/>
          <w:i/>
          <w:sz w:val="22"/>
        </w:rPr>
        <w:t>same</w:t>
      </w:r>
      <w:r>
        <w:rPr>
          <w:rFonts w:ascii="Times New Roman" w:hAnsi="Times New Roman" w:eastAsia="SimSun"/>
          <w:sz w:val="22"/>
        </w:rPr>
        <w:t xml:space="preserve"> family and training recipe, holding corpus, injection rate, attack and defenses fixed: GTE-base → </w:t>
      </w:r>
      <w:r>
        <w:rPr>
          <w:rFonts w:ascii="Times New Roman" w:hAnsi="Times New Roman" w:eastAsia="SimSun"/>
          <w:b/>
          <w:sz w:val="22"/>
        </w:rPr>
        <w:t>GTE-large</w:t>
      </w:r>
      <w:r>
        <w:rPr>
          <w:rFonts w:ascii="Times New Roman" w:hAnsi="Times New Roman" w:eastAsia="SimSun"/>
          <w:sz w:val="22"/>
        </w:rPr>
        <w:t xml:space="preserve">, E5-base-v2 → </w:t>
      </w:r>
      <w:r>
        <w:rPr>
          <w:rFonts w:ascii="Times New Roman" w:hAnsi="Times New Roman" w:eastAsia="SimSun"/>
          <w:b/>
          <w:sz w:val="22"/>
        </w:rPr>
        <w:t>E5-large-v2</w:t>
      </w:r>
      <w:r>
        <w:rPr>
          <w:rFonts w:ascii="Times New Roman" w:hAnsi="Times New Roman" w:eastAsia="SimSun"/>
          <w:sz w:val="22"/>
        </w:rPr>
        <w:t xml:space="preserve">, and SPLADE (distil) → </w:t>
      </w:r>
      <w:r>
        <w:rPr>
          <w:rFonts w:ascii="Times New Roman" w:hAnsi="Times New Roman" w:eastAsia="SimSun"/>
          <w:b/>
          <w:sz w:val="22"/>
        </w:rPr>
        <w:t>SPLADE-efficient-large</w:t>
      </w:r>
      <w:r>
        <w:rPr>
          <w:rFonts w:ascii="Times New Roman" w:hAnsi="Times New Roman" w:eastAsia="SimSun"/>
          <w:sz w:val="22"/>
        </w:rPr>
        <w:t xml:space="preserve"> (the published large SPLADE, which splits into separately fine-tuned query and document encoders).</w:t>
      </w:r>
    </w:p>
    <w:p>
      <w:r>
        <w:rPr>
          <w:rFonts w:ascii="Times New Roman" w:hAnsi="Times New Roman" w:eastAsia="SimSun"/>
          <w:b/>
          <w:sz w:val="22"/>
        </w:rPr>
        <w:t>Table 11.</w:t>
      </w:r>
      <w:r>
        <w:rPr>
          <w:rFonts w:ascii="Times New Roman" w:hAnsi="Times New Roman" w:eastAsia="SimSun"/>
          <w:sz w:val="22"/>
        </w:rPr>
        <w:t xml:space="preserve"> Text-only (lexical) attack, $\rho = 0.5\%$, no defense. Base/large pairs from the same family.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params</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GTE-large</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0.5000</w:t>
            </w:r>
          </w:p>
        </w:tc>
        <w:tc>
          <w:tcPr>
            <w:tcW w:type="dxa" w:w="1928"/>
          </w:tcPr>
          <w:p>
            <w:pPr>
              <w:spacing w:line="240" w:lineRule="auto" w:after="0"/>
            </w:pPr>
            <w:r>
              <w:rPr>
                <w:rFonts w:ascii="Times New Roman" w:hAnsi="Times New Roman" w:eastAsia="SimSun"/>
                <w:sz w:val="19"/>
              </w:rPr>
              <w:t>0.1313</w:t>
            </w:r>
          </w:p>
        </w:tc>
        <w:tc>
          <w:tcPr>
            <w:tcW w:type="dxa" w:w="1928"/>
          </w:tcPr>
          <w:p>
            <w:pPr>
              <w:spacing w:line="240" w:lineRule="auto" w:after="0"/>
            </w:pPr>
            <w:r>
              <w:rPr>
                <w:rFonts w:ascii="Times New Roman" w:hAnsi="Times New Roman" w:eastAsia="SimSun"/>
                <w:sz w:val="19"/>
              </w:rPr>
              <w:t>0.9444</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E5-large-v2</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0.0000</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sz w:val="19"/>
              </w:rPr>
              <w:t>SPLADE distil</w:t>
            </w:r>
          </w:p>
        </w:tc>
        <w:tc>
          <w:tcPr>
            <w:tcW w:type="dxa" w:w="1928"/>
          </w:tcPr>
          <w:p>
            <w:pPr>
              <w:spacing w:line="240" w:lineRule="auto" w:after="0"/>
            </w:pPr>
            <w:r>
              <w:rPr>
                <w:rFonts w:ascii="Times New Roman" w:hAnsi="Times New Roman" w:eastAsia="SimSun"/>
                <w:sz w:val="19"/>
              </w:rPr>
              <w:t>66M</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0.2188</w:t>
            </w:r>
          </w:p>
        </w:tc>
        <w:tc>
          <w:tcPr>
            <w:tcW w:type="dxa" w:w="1928"/>
          </w:tcPr>
          <w:p>
            <w:pPr>
              <w:spacing w:line="240" w:lineRule="auto" w:after="0"/>
            </w:pPr>
            <w:r>
              <w:rPr>
                <w:rFonts w:ascii="Times New Roman" w:hAnsi="Times New Roman" w:eastAsia="SimSun"/>
                <w:sz w:val="19"/>
              </w:rPr>
              <w:t>1.0000</w:t>
            </w:r>
          </w:p>
        </w:tc>
      </w:tr>
      <w:tr>
        <w:tc>
          <w:tcPr>
            <w:tcW w:type="dxa" w:w="1928"/>
          </w:tcPr>
          <w:p>
            <w:pPr>
              <w:spacing w:line="240" w:lineRule="auto" w:after="0"/>
            </w:pPr>
            <w:r>
              <w:rPr>
                <w:rFonts w:ascii="Times New Roman" w:hAnsi="Times New Roman" w:eastAsia="SimSun"/>
                <w:b/>
                <w:sz w:val="19"/>
              </w:rPr>
              <w:t>SPLADE large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0.1875</w:t>
            </w:r>
          </w:p>
        </w:tc>
        <w:tc>
          <w:tcPr>
            <w:tcW w:type="dxa" w:w="1928"/>
          </w:tcPr>
          <w:p>
            <w:pPr>
              <w:spacing w:line="240" w:lineRule="auto" w:after="0"/>
            </w:pPr>
            <w:r>
              <w:rPr>
                <w:rFonts w:ascii="Times New Roman" w:hAnsi="Times New Roman" w:eastAsia="SimSun"/>
                <w:sz w:val="19"/>
              </w:rPr>
              <w:t>0.8810</w:t>
            </w:r>
          </w:p>
        </w:tc>
      </w:tr>
    </w:tbl>
    <w:p/>
    <w:p>
      <w:r>
        <w:rPr>
          <w:rFonts w:ascii="Times New Roman" w:hAnsi="Times New Roman" w:eastAsia="SimSun"/>
          <w:b/>
          <w:sz w:val="22"/>
        </w:rPr>
        <w:t>Finding 11. Text-attack susceptibility is a per-checkpoint property that is not monotone in encoder scale, and scaling can destroy resistance entirely.</w:t>
      </w:r>
      <w:r>
        <w:rPr>
          <w:rFonts w:ascii="Times New Roman" w:hAnsi="Times New Roman" w:eastAsia="SimSun"/>
          <w:sz w:val="22"/>
        </w:rPr>
        <w:t xml:space="preserve"> GTE-base and E5-base-v2 are equally resistant at base size — both at 0.0625, i.e. the attack succeeds on three of 48 queries.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while GTE-large becomes eight times more susceptible (0.0625 → 0.5000, succeeding on 24 of 48 queries).</w:t>
      </w:r>
      <w:r>
        <w:rPr>
          <w:rFonts w:ascii="Times New Roman" w:hAnsi="Times New Roman" w:eastAsia="SimSun"/>
          <w:sz w:val="22"/>
        </w:rPr>
        <w:t xml:space="preserve"> SPLADE is susceptible at both scales with little change (0.6250 → 0.5625), so the learned-sparse result is stable under scaling even though its own size increase is modest.</w:t>
      </w:r>
    </w:p>
    <w:p>
      <w:r>
        <w:rPr>
          <w:rFonts w:ascii="Times New Roman" w:hAnsi="Times New Roman" w:eastAsia="SimSun"/>
          <w:sz w:val="22"/>
        </w:rPr>
        <w:t xml:space="preserve">Two things make this more than a curiosity. First, it is a same-family, same-recipe comparison on identical data, so it cannot be attributed to corpus, rate, or attack construction — the only variable is the checkpoint. Second, the per-query distribution is discrete: adversarial inclusion is 0 or 1 per query with nothing in between, so the change from 3 to 24 affected queries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 A system whose retrieval robustness was validated on GTE-base would become substantially more attackable by the routine act of upgrading the embedder.</w:t>
      </w:r>
    </w:p>
    <w:p>
      <w:r>
        <w:rPr>
          <w:rFonts w:ascii="Times New Roman" w:hAnsi="Times New Roman" w:eastAsia="SimSun"/>
          <w:b/>
          <w:sz w:val="22"/>
        </w:rPr>
        <w:t>Mechanism.</w:t>
      </w:r>
      <w:r>
        <w:rPr>
          <w:rFonts w:ascii="Times New Roman" w:hAnsi="Times New Roman" w:eastAsia="SimSun"/>
          <w:sz w:val="22"/>
        </w:rPr>
        <w:t xml:space="preserve"> We tested the obvious explanation and it is wrong, which makes the result more informative rather than less. If GTE-large's embedding space were more </w:t>
      </w:r>
      <w:r>
        <w:rPr>
          <w:rFonts w:ascii="Times New Roman" w:hAnsi="Times New Roman" w:eastAsia="SimSun"/>
          <w:i/>
          <w:sz w:val="22"/>
        </w:rPr>
        <w:t>anisotropic</w:t>
      </w:r>
      <w:r>
        <w:rPr>
          <w:rFonts w:ascii="Times New Roman" w:hAnsi="Times New Roman" w:eastAsia="SimSun"/>
          <w:sz w:val="22"/>
        </w:rPr>
        <w:t xml:space="preserve"> — vectors collapsed into a narrower cone — then a fixed textual nudge would move rank further, and the finding would reduce to a known geometric property. We measured it: GTE-base and GTE-large are near-identical in mean pairwise cosine (0.8484 vs 0.8579), in effective dimensionality (13.2 in both, against 768 and 1024 nominal dimensions), and in the spread of query similarity (top-decile spread 0.0860 vs 0.0895). The same holds for the E5 pair (0.8291 / 0.8375 anisotropy, 13.9 / 14.8 effective dimensions). </w:t>
      </w:r>
      <w:r>
        <w:rPr>
          <w:rFonts w:ascii="Times New Roman" w:hAnsi="Times New Roman" w:eastAsia="SimSun"/>
          <w:b/>
          <w:sz w:val="22"/>
        </w:rPr>
        <w:t>Embedding geometry does not explain the scale effect.</w:t>
      </w:r>
    </w:p>
    <w:p>
      <w:r>
        <w:rPr>
          <w:rFonts w:ascii="Times New Roman" w:hAnsi="Times New Roman" w:eastAsia="SimSun"/>
          <w:sz w:val="22"/>
        </w:rPr>
        <w:t>What does explain it is the size of the gain the attack buys. Measuring the injected passages directly against the clean corpus, for the same queries:</w:t>
      </w:r>
    </w:p>
    <w:p>
      <w:r>
        <w:rPr>
          <w:rFonts w:ascii="Times New Roman" w:hAnsi="Times New Roman" w:eastAsia="SimSun"/>
          <w:b/>
          <w:sz w:val="22"/>
        </w:rPr>
        <w:t>Table 12.</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 (</w:t>
            </w:r>
            <w:r>
              <w:rPr>
                <w:rFonts w:ascii="Consolas" w:hAnsi="Consolas" w:eastAsia="Consolas"/>
                <w:sz w:val="18"/>
              </w:rPr>
              <w:t>poison − clean</w:t>
            </w:r>
            <w:r>
              <w:rPr>
                <w:rFonts w:ascii="Times New Roman" w:hAnsi="Times New Roman" w:eastAsia="SimSun"/>
                <w:sz w:val="19"/>
              </w:rPr>
              <w:t>)</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(best-poison cosine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xml:space="preserve">. Because the mean margin is only about −0.007, a gain difference of +0.0085 is enough to carry a large fraction of queries across the threshold — which is exactly the 3-to-24 shift in affected queries. Susceptibility here is not a property of the space but of </w:t>
      </w:r>
      <w:r>
        <w:rPr>
          <w:rFonts w:ascii="Times New Roman" w:hAnsi="Times New Roman" w:eastAsia="SimSun"/>
          <w:i/>
          <w:sz w:val="22"/>
        </w:rPr>
        <w:t>how much a fixed lexical perturbation moves a passage within it</w:t>
      </w:r>
      <w:r>
        <w:rPr>
          <w:rFonts w:ascii="Times New Roman" w:hAnsi="Times New Roman" w:eastAsia="SimSun"/>
          <w:sz w:val="22"/>
        </w:rPr>
        <w:t>, and that quantity is not predictable from architecture, dimensionality, size, or geometry. This is what we mean by saying the property must be measured: it is the interaction between the attack's vocabulary and the encoder's learned weighting of it, and no coarse descriptor of the encoder we have tried predicts it.</w:t>
      </w:r>
    </w:p>
    <w:p>
      <w:r>
        <w:rPr>
          <w:rFonts w:ascii="Times New Roman" w:hAnsi="Times New Roman" w:eastAsia="SimSun"/>
          <w:b/>
          <w:sz w:val="22"/>
        </w:rPr>
        <w:t>Finding 6b. The R1 constraint remains inert at large scale.</w:t>
      </w:r>
      <w:r>
        <w:rPr>
          <w:rFonts w:ascii="Times New Roman" w:hAnsi="Times New Roman" w:eastAsia="SimSun"/>
          <w:sz w:val="22"/>
        </w:rPr>
        <w:t xml:space="preserve"> Table 13 extends the §5.2 inertness check to the large checkpoints.</w:t>
      </w:r>
    </w:p>
    <w:p>
      <w:r>
        <w:rPr>
          <w:rFonts w:ascii="Times New Roman" w:hAnsi="Times New Roman" w:eastAsia="SimSun"/>
          <w:b/>
          <w:sz w:val="22"/>
        </w:rPr>
        <w:t>Table 13.</w:t>
      </w:r>
      <w:r>
        <w:rPr>
          <w:rFonts w:ascii="Times New Roman" w:hAnsi="Times New Roman" w:eastAsia="SimSun"/>
          <w:sz w:val="22"/>
        </w:rPr>
        <w:t xml:space="preserve"> R1-only constraint inertness on large back-ends.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hash-dense (own)</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Across all eight back-ends and both constraint configurations, the difference is exactly zero. This is now the fourth independent setting in which the inertness holds — two corpora, six base retrievers, and the large checkpoints — and it remains the paper's most robust result. Note that the projection attack reaches complete inclusion (1.0000) on GTE-large, on E5-large-v2 and on SPLADE-large, so the constraint is inert in the worst case rather than in a marginal one.</w:t>
      </w:r>
    </w:p>
    <w:p>
      <w:r>
        <w:rPr>
          <w:rFonts w:ascii="Times New Roman" w:hAnsi="Times New Roman" w:eastAsia="SimSun"/>
          <w:b/>
          <w:sz w:val="22"/>
        </w:rPr>
        <w:t>Consequences for Finding 7.</w:t>
      </w:r>
      <w:r>
        <w:rPr>
          <w:rFonts w:ascii="Times New Roman" w:hAnsi="Times New Roman" w:eastAsia="SimSun"/>
          <w:sz w:val="22"/>
        </w:rPr>
        <w:t xml:space="preserve"> Finding 7 identified sparsity as the operative property behind the base-size spread. The scale check bounds that claim rather than refuting it: sparsity still predicts susceptibility </w:t>
      </w:r>
      <w:r>
        <w:rPr>
          <w:rFonts w:ascii="Times New Roman" w:hAnsi="Times New Roman" w:eastAsia="SimSun"/>
          <w:i/>
          <w:sz w:val="22"/>
        </w:rPr>
        <w:t>at a fixed scale</w:t>
      </w:r>
      <w:r>
        <w:rPr>
          <w:rFonts w:ascii="Times New Roman" w:hAnsi="Times New Roman" w:eastAsia="SimSun"/>
          <w:sz w:val="22"/>
        </w:rPr>
        <w:t xml:space="preserve"> (both sparse retrievers susceptible, and the one resistant-at-both-scales encoder is dense), but it is not sufficient, because GTE-large is dense and semantic yet susceptible. The honest form of Finding 7 is therefore that </w:t>
      </w:r>
      <w:r>
        <w:rPr>
          <w:rFonts w:ascii="Times New Roman" w:hAnsi="Times New Roman" w:eastAsia="SimSun"/>
          <w:b/>
          <w:sz w:val="22"/>
        </w:rPr>
        <w:t>the sparse/dense split is a strong correlate at base size and a heuristic, not a law</w:t>
      </w:r>
      <w:r>
        <w:rPr>
          <w:rFonts w:ascii="Times New Roman" w:hAnsi="Times New Roman" w:eastAsia="SimSun"/>
          <w:sz w:val="22"/>
        </w:rPr>
        <w:t>, and the only fully reliable statement is the weaker one: susceptibility is a property of the specific checkpoint, and it must be measured rather than inferred from architecture or size.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14.</w:t>
      </w:r>
      <w:r>
        <w:rPr>
          <w:rFonts w:ascii="Times New Roman" w:hAnsi="Times New Roman" w:eastAsia="SimSun"/>
          <w:sz w:val="22"/>
        </w:rPr>
        <w:t xml:space="preserve"> The first generation-layer measurement, with the forced-choice probe on a single generator. Superseded by Table 15;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sz w:val="22"/>
        </w:rPr>
        <w:t>Read Table 14 and Table 15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The retrieval-layer skew propagates to the generated output, and it replicates across three independent generators — but only when the two groups are measured separately.</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three generators from two model families. The per-group shifts are large, consistent in sign, and highly significant everywhere:</w:t>
      </w:r>
    </w:p>
    <w:p>
      <w:r>
        <w:rPr>
          <w:rFonts w:ascii="Times New Roman" w:hAnsi="Times New Roman" w:eastAsia="SimSun"/>
          <w:b/>
          <w:sz w:val="22"/>
        </w:rPr>
        <w:t>Table 15.</w:t>
      </w:r>
      <w:r>
        <w:rPr>
          <w:rFonts w:ascii="Times New Roman" w:hAnsi="Times New Roman" w:eastAsia="SimSun"/>
          <w:sz w:val="22"/>
        </w:rPr>
        <w:t xml:space="preserve"> Generation-layer stance, entailment-scored, three generators.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16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16.</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preliminary, and we now know specifically why.</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one backbone; it establishes that the retrieval skew reaches the output and that it saturates one group, but not the magnitude. Three concrete limits, all uncovered while building a larger evaluation:</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12</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