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and there it has a mechanism. Across six retrievers at base size the text attack succeeds 0.750 (BM25), 0.625 (feature hashing), 0.625 (</w:t>
      </w:r>
      <w:r>
        <w:rPr>
          <w:rFonts w:ascii="Times New Roman" w:hAnsi="Times New Roman" w:eastAsia="SimSun"/>
          <w:b/>
          <w:sz w:val="22"/>
        </w:rPr>
        <w:t>SPLADE</w:t>
      </w:r>
      <w:r>
        <w:rPr>
          <w:rFonts w:ascii="Times New Roman" w:hAnsi="Times New Roman" w:eastAsia="SimSun"/>
          <w:sz w:val="22"/>
        </w:rPr>
        <w:t xml:space="preserve">), 0.5625 (Contriever), 0.0625 (GTE-base) and 0.0625 (E5-base-v2) — a nine-fold spread. We added SPLADE, a </w:t>
      </w:r>
      <w:r>
        <w:rPr>
          <w:rFonts w:ascii="Times New Roman" w:hAnsi="Times New Roman" w:eastAsia="SimSun"/>
          <w:i/>
          <w:sz w:val="22"/>
        </w:rPr>
        <w:t>learned sparse</w:t>
      </w:r>
      <w:r>
        <w:rPr>
          <w:rFonts w:ascii="Times New Roman" w:hAnsi="Times New Roman" w:eastAsia="SimSun"/>
          <w:sz w:val="22"/>
        </w:rPr>
        <w:t xml:space="preserve"> retriever, specifically to separate two explanations: SPLADE learns its term weights yet is as susceptible as BM25, so susceptibility tracks the </w:t>
      </w:r>
      <w:r>
        <w:rPr>
          <w:rFonts w:ascii="Times New Roman" w:hAnsi="Times New Roman" w:eastAsia="SimSun"/>
          <w:b/>
          <w:sz w:val="22"/>
        </w:rPr>
        <w:t>sparsity</w:t>
      </w:r>
      <w:r>
        <w:rPr>
          <w:rFonts w:ascii="Times New Roman" w:hAnsi="Times New Roman" w:eastAsia="SimSun"/>
          <w:sz w:val="22"/>
        </w:rPr>
        <w:t xml:space="preserve"> of the representation rather than whether the encoder is learned or semantic. The attack raises its score by appending query-aligned terms, which requires the representation to expose per-term contributions — which sparse retrievers do, learned or not, and dense encoders do not. </w:t>
      </w:r>
      <w:r>
        <w:rPr>
          <w:rFonts w:ascii="Times New Roman" w:hAnsi="Times New Roman" w:eastAsia="SimSun"/>
          <w:b/>
          <w:sz w:val="22"/>
        </w:rPr>
        <w:t>The spread does not close with scale, and sparsity is a correlate rather than a law.</w:t>
      </w:r>
      <w:r>
        <w:rPr>
          <w:rFonts w:ascii="Times New Roman" w:hAnsi="Times New Roman" w:eastAsia="SimSun"/>
          <w:sz w:val="22"/>
        </w:rPr>
        <w:t xml:space="preserve"> Pairing each encoder with its larger sibling from the same family, E5-base-v2 → E5-large-v2 becomes </w:t>
      </w:r>
      <w:r>
        <w:rPr>
          <w:rFonts w:ascii="Times New Roman" w:hAnsi="Times New Roman" w:eastAsia="SimSun"/>
          <w:i/>
          <w:sz w:val="22"/>
        </w:rPr>
        <w:t>more</w:t>
      </w:r>
      <w:r>
        <w:rPr>
          <w:rFonts w:ascii="Times New Roman" w:hAnsi="Times New Roman" w:eastAsia="SimSun"/>
          <w:sz w:val="22"/>
        </w:rPr>
        <w:t xml:space="preserve"> resistant (0.0625 → 0.0000) while </w:t>
      </w:r>
      <w:r>
        <w:rPr>
          <w:rFonts w:ascii="Times New Roman" w:hAnsi="Times New Roman" w:eastAsia="SimSun"/>
          <w:b/>
          <w:sz w:val="22"/>
        </w:rPr>
        <w:t>GTE-base → GTE-large becomes eight times more susceptible (0.0625 → 0.5000)</w:t>
      </w:r>
      <w:r>
        <w:rPr>
          <w:rFonts w:ascii="Times New Roman" w:hAnsi="Times New Roman" w:eastAsia="SimSun"/>
          <w:sz w:val="22"/>
        </w:rPr>
        <w:t>, on identical data and with the only variable being the checkpoint. Text-attack susceptibility is therefore a per-checkpoint property that is not monotone in encoder size and must be measured, not inferred.</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xml:space="preserve">, and we argue it is the paper's central contribution. We prove it (§6): under a relevance-overlap assumption, a distribution-constrained defense faces a </w:t>
      </w:r>
      <w:r>
        <w:rPr>
          <w:rFonts w:ascii="Times New Roman" w:hAnsi="Times New Roman" w:eastAsia="SimSun"/>
          <w:b/>
          <w:sz w:val="22"/>
        </w:rPr>
        <w:t>trilemma</w:t>
      </w:r>
      <w:r>
        <w:rPr>
          <w:rFonts w:ascii="Times New Roman" w:hAnsi="Times New Roman" w:eastAsia="SimSun"/>
          <w:sz w:val="22"/>
        </w:rPr>
        <w:t xml:space="preserve"> — it cannot simultaneously exclude adversarial passages, admit good clean selections, and impose a non-vacuous constraint. Violating an ε-constraint costs the attacker at most $k$ replacements once its passages are retrieved; whether they are retrieved is a separate, corpus- and encoder-dependent question, and our six-retriever comparison shows it varies by more than an order of magnitude. We also show by backbone alignment that the inertness does not depend on the attack leaving R1 undisturbed: on the dense encoders the attack moves R1 by 0.37–0.47, more than three times as much as on BM25, and the R1 constraint remains inert at every budget setting — Δ = 0.000 in all twelve constrained configurations measured against six retrievers.</w:t>
      </w:r>
    </w:p>
    <w:p>
      <w:r>
        <w:rPr>
          <w:rFonts w:ascii="Times New Roman" w:hAnsi="Times New Roman" w:eastAsia="SimSun"/>
          <w:sz w:val="22"/>
        </w:rPr>
        <w:t xml:space="preserve">The retrieval-layer skew also </w:t>
      </w:r>
      <w:r>
        <w:rPr>
          <w:rFonts w:ascii="Times New Roman" w:hAnsi="Times New Roman" w:eastAsia="SimSun"/>
          <w:b/>
          <w:sz w:val="22"/>
        </w:rPr>
        <w:t>propagates to the generated output</w:t>
      </w:r>
      <w:r>
        <w:rPr>
          <w:rFonts w:ascii="Times New Roman" w:hAnsi="Times New Roman" w:eastAsia="SimSun"/>
          <w:sz w:val="22"/>
        </w:rPr>
        <w:t xml:space="preserve"> (§5.7): with a fixed generator and only the retrieved context varying, the generation-layer stance gap rises 46% under poisoning (0.271 → 0.396), and it does so by driving one group's favourable rate to ceiling (0.708 → 1.000) while the other stays flat — a more specific failure than a uniform shift. Neither constraint repairs this.</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six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 xml:space="preserve">An empirical demonstration that R1-constraining defenses are inert against this attack, including the strictest budget setting, across </w:t>
      </w:r>
      <w:r>
        <w:rPr>
          <w:rFonts w:ascii="Times New Roman" w:hAnsi="Times New Roman" w:eastAsia="SimSun"/>
          <w:b/>
          <w:sz w:val="22"/>
        </w:rPr>
        <w:t>six</w:t>
      </w:r>
      <w:r>
        <w:rPr>
          <w:rFonts w:ascii="Times New Roman" w:hAnsi="Times New Roman" w:eastAsia="SimSun"/>
          <w:sz w:val="22"/>
        </w:rPr>
        <w:t xml:space="preserve">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pStyle w:val="ListNumber"/>
        <w:spacing w:line="360" w:lineRule="auto"/>
      </w:pPr>
      <w:r>
        <w:rPr>
          <w:rFonts w:ascii="Times New Roman" w:hAnsi="Times New Roman" w:eastAsia="SimSun"/>
          <w:sz w:val="22"/>
        </w:rPr>
        <w:t xml:space="preserve">A methodological finding with an identified mechanism: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retrieval representation, not by whether the encoder is learned or semantic (§5.5, Finding 7). A learned sparse retriever is as susceptible as BM25 while two of three dense encoders resist almost completely, so a single-encoder robustness claim measures an unmeasured encoder property.</w:t>
      </w:r>
    </w:p>
    <w:p>
      <w:pPr>
        <w:pStyle w:val="ListNumber"/>
        <w:spacing w:line="360" w:lineRule="auto"/>
      </w:pPr>
      <w:r>
        <w:rPr>
          <w:rFonts w:ascii="Times New Roman" w:hAnsi="Times New Roman" w:eastAsia="SimSun"/>
          <w:sz w:val="22"/>
        </w:rPr>
        <w:t xml:space="preserve">A scale check that bounds contribution 6 and is itself the sharper result (§5.6): susceptibility is </w:t>
      </w:r>
      <w:r>
        <w:rPr>
          <w:rFonts w:ascii="Times New Roman" w:hAnsi="Times New Roman" w:eastAsia="SimSun"/>
          <w:b/>
          <w:sz w:val="22"/>
        </w:rPr>
        <w:t>not monotone in encoder size</w:t>
      </w:r>
      <w:r>
        <w:rPr>
          <w:rFonts w:ascii="Times New Roman" w:hAnsi="Times New Roman" w:eastAsia="SimSun"/>
          <w:sz w:val="22"/>
        </w:rPr>
        <w:t>. E5 becomes more resistant when enlarged while GTE becomes eight times more susceptible within the same family and training recipe, so susceptibility is a per-checkpoint property that must be measured rather than inferred from architecture, size, or sparsity.</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0.125</w:t>
            </w:r>
          </w:p>
        </w:tc>
        <w:tc>
          <w:tcPr>
            <w:tcW w:type="dxa" w:w="1377"/>
          </w:tcPr>
          <w:p>
            <w:pPr>
              <w:spacing w:line="240" w:lineRule="auto" w:after="0"/>
            </w:pPr>
            <w:r>
              <w:rPr>
                <w:rFonts w:ascii="Times New Roman" w:hAnsi="Times New Roman" w:eastAsia="SimSun"/>
                <w:sz w:val="19"/>
              </w:rPr>
              <w:t>0.438</w:t>
            </w:r>
          </w:p>
        </w:tc>
        <w:tc>
          <w:tcPr>
            <w:tcW w:type="dxa" w:w="1377"/>
          </w:tcPr>
          <w:p>
            <w:pPr>
              <w:spacing w:line="240" w:lineRule="auto" w:after="0"/>
            </w:pPr>
            <w:r>
              <w:rPr>
                <w:rFonts w:ascii="Times New Roman" w:hAnsi="Times New Roman" w:eastAsia="SimSun"/>
                <w:sz w:val="19"/>
              </w:rPr>
              <w:t>0.750</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(0.125)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six retrievers, and what susceptibility actually tracks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the encoders that literature actually uses — </w:t>
      </w:r>
      <w:r>
        <w:rPr>
          <w:rFonts w:ascii="Times New Roman" w:hAnsi="Times New Roman" w:eastAsia="SimSun"/>
          <w:b/>
          <w:sz w:val="22"/>
        </w:rPr>
        <w:t>GTE-base</w:t>
      </w:r>
      <w:r>
        <w:rPr>
          <w:rFonts w:ascii="Times New Roman" w:hAnsi="Times New Roman" w:eastAsia="SimSun"/>
          <w:sz w:val="22"/>
        </w:rPr>
        <w:t xml:space="preserve"> [5], </w:t>
      </w:r>
      <w:r>
        <w:rPr>
          <w:rFonts w:ascii="Times New Roman" w:hAnsi="Times New Roman" w:eastAsia="SimSun"/>
          <w:b/>
          <w:sz w:val="22"/>
        </w:rPr>
        <w:t>Contriever</w:t>
      </w:r>
      <w:r>
        <w:rPr>
          <w:rFonts w:ascii="Times New Roman" w:hAnsi="Times New Roman" w:eastAsia="SimSun"/>
          <w:sz w:val="22"/>
        </w:rPr>
        <w:t xml:space="preserve"> [8], and </w:t>
      </w:r>
      <w:r>
        <w:rPr>
          <w:rFonts w:ascii="Times New Roman" w:hAnsi="Times New Roman" w:eastAsia="SimSun"/>
          <w:b/>
          <w:sz w:val="22"/>
        </w:rPr>
        <w:t>E5-base-v2</w:t>
      </w:r>
      <w:r>
        <w:rPr>
          <w:rFonts w:ascii="Times New Roman" w:hAnsi="Times New Roman" w:eastAsia="SimSun"/>
          <w:sz w:val="22"/>
        </w:rPr>
        <w:t xml:space="preserve"> [4, 6] — and, to test a mechanism rather than only to align, </w:t>
      </w:r>
      <w:r>
        <w:rPr>
          <w:rFonts w:ascii="Times New Roman" w:hAnsi="Times New Roman" w:eastAsia="SimSun"/>
          <w:b/>
          <w:sz w:val="22"/>
        </w:rPr>
        <w:t>SPLADE</w:t>
      </w:r>
      <w:r>
        <w:rPr>
          <w:rFonts w:ascii="Times New Roman" w:hAnsi="Times New Roman" w:eastAsia="SimSun"/>
          <w:sz w:val="22"/>
        </w:rPr>
        <w:t xml:space="preserve">, a </w:t>
      </w:r>
      <w:r>
        <w:rPr>
          <w:rFonts w:ascii="Times New Roman" w:hAnsi="Times New Roman" w:eastAsia="SimSun"/>
          <w:i/>
          <w:sz w:val="22"/>
        </w:rPr>
        <w:t>learned sparse</w:t>
      </w:r>
      <w:r>
        <w:rPr>
          <w:rFonts w:ascii="Times New Roman" w:hAnsi="Times New Roman" w:eastAsia="SimSun"/>
          <w:sz w:val="22"/>
        </w:rPr>
        <w:t xml:space="preserve"> retriever. SPLADE is the decisive addition: it is sparse like BM25 but learned like a neural encoder, so it separates two explanations that a lexical-versus-semantic comparison cannot.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measurably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c>
          <w:tcPr>
            <w:tcW w:type="dxa" w:w="1606"/>
            <w:shd w:val="clear" w:color="auto" w:fill="DCE6F1"/>
          </w:tcPr>
          <w:p>
            <w:pPr>
              <w:spacing w:line="240" w:lineRule="auto" w:after="0"/>
            </w:pP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0.0125</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Every retriever is attacked, and the R2 gap saturates at its maximum for all but BM25. The R1 drift of the dense encoders (0.37–0.47) is </w:t>
      </w:r>
      <w:r>
        <w:rPr>
          <w:rFonts w:ascii="Times New Roman" w:hAnsi="Times New Roman" w:eastAsia="SimSun"/>
          <w:b/>
          <w:sz w:val="22"/>
        </w:rPr>
        <w:t>2.3x–2.9x</w:t>
      </w:r>
      <w:r>
        <w:rPr>
          <w:rFonts w:ascii="Times New Roman" w:hAnsi="Times New Roman" w:eastAsia="SimSun"/>
          <w:sz w:val="22"/>
        </w:rPr>
        <w:t xml:space="preserve"> that of BM25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R1-only constraint inertness. </w:t>
      </w:r>
      <w:r>
        <w:rPr>
          <w:rFonts w:ascii="Consolas" w:hAnsi="Consolas" w:eastAsia="Consolas"/>
          <w:sz w:val="21"/>
        </w:rPr>
        <w:t>template_plus_projection</w:t>
      </w:r>
      <w:r>
        <w:rPr>
          <w:rFonts w:ascii="Times New Roman" w:hAnsi="Times New Roman" w:eastAsia="SimSun"/>
          <w:sz w:val="22"/>
        </w:rPr>
        <w:t>, $\rho = 0.5\%$, Δ = constrained minus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Δ</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SPLADE</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bl>
    <w:p/>
    <w:p>
      <w:r>
        <w:rPr>
          <w:rFonts w:ascii="Times New Roman" w:hAnsi="Times New Roman" w:eastAsia="SimSun"/>
          <w:b/>
          <w:sz w:val="22"/>
        </w:rPr>
        <w:t>Finding 6. The R1 constraint is inert on every backbone tested — all 12 constrained configurations in Table 9 show Δ = 0.000, where Δ is the change in adversarial-passage inclusion (`poison@k`) versus no defense —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dense encoders it does perturb R1, by 0.37–0.47, more than three times as much as on BM25. It nonetheless admits exactly the same adversarial passages as no defense,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defense enforces: the tolerance parameter widens or narrows the admissible region without ever excluding the attacker's passages, which were built to be compositionally typical. §6.2 proves why. The result holds across six retrievers spanning lexical, hashed, learned-sparse and three dense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 what susceptibility actually tracks.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 @0.5%</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(preserves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 xml:space="preserve">The </w:t>
      </w:r>
      <w:r>
        <w:rPr>
          <w:rFonts w:ascii="Consolas" w:hAnsi="Consolas" w:eastAsia="Consolas"/>
          <w:sz w:val="21"/>
        </w:rPr>
        <w:t>fav_g2</w:t>
      </w:r>
      <w:r>
        <w:rPr>
          <w:rFonts w:ascii="Times New Roman" w:hAnsi="Times New Roman" w:eastAsia="SimSun"/>
          <w:sz w:val="22"/>
        </w:rPr>
        <w:t xml:space="preserve"> column is the R2 reading. The </w:t>
      </w:r>
      <w:r>
        <w:rPr>
          <w:rFonts w:ascii="Consolas" w:hAnsi="Consolas" w:eastAsia="Consolas"/>
          <w:sz w:val="21"/>
        </w:rPr>
        <w:t>n/a</w:t>
      </w:r>
      <w:r>
        <w:rPr>
          <w:rFonts w:ascii="Times New Roman" w:hAnsi="Times New Roman" w:eastAsia="SimSun"/>
          <w:sz w:val="22"/>
        </w:rPr>
        <w:t xml:space="preserve"> entries for GTE-base and E5-base-v2 are not missing values but a consequence of the attack failing: with no adversarial passage in the top-$k$ there is no stance skew to measure, so the R2 gap is undefined rather than 0 or 1. We report it as undefined because collapsing it to 0.000 would misrepresent a failed attack as a perfectly balanced selection. Note also that R1 drift is </w:t>
      </w:r>
      <w:r>
        <w:rPr>
          <w:rFonts w:ascii="Times New Roman" w:hAnsi="Times New Roman" w:eastAsia="SimSun"/>
          <w:b/>
          <w:sz w:val="22"/>
        </w:rPr>
        <w:t>exactly</w:t>
      </w:r>
      <w:r>
        <w:rPr>
          <w:rFonts w:ascii="Times New Roman" w:hAnsi="Times New Roman" w:eastAsia="SimSun"/>
          <w:sz w:val="22"/>
        </w:rPr>
        <w:t xml:space="preserve"> 0.0000 for both resistant encoders — the attack produces no measurable change on either dimension — whereas SPLADE's R2 gap reaches its maximum 1.0000, the highest of the six, against a text-only attack where BM25 reaches only 0.7436. SPLADE's learned term weighting evidently concentrates score on exactly the terms the attacker appends, making it the </w:t>
      </w:r>
      <w:r>
        <w:rPr>
          <w:rFonts w:ascii="Times New Roman" w:hAnsi="Times New Roman" w:eastAsia="SimSun"/>
          <w:i/>
          <w:sz w:val="22"/>
        </w:rPr>
        <w:t>most</w:t>
      </w:r>
      <w:r>
        <w:rPr>
          <w:rFonts w:ascii="Times New Roman" w:hAnsi="Times New Roman" w:eastAsia="SimSun"/>
          <w:sz w:val="22"/>
        </w:rPr>
        <w:t xml:space="preserve"> efficiently attacked retriever on the R2 dimension despite tying the hashed retriever on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b/>
          <w:sz w:val="22"/>
        </w:rPr>
        <w:t>Finding 7. Text-attack susceptibility tracks the *sparsity* of the representation, not whether the encoder is learned or semantic.</w:t>
      </w:r>
      <w:r>
        <w:rPr>
          <w:rFonts w:ascii="Times New Roman" w:hAnsi="Times New Roman" w:eastAsia="SimSun"/>
          <w:sz w:val="22"/>
        </w:rPr>
        <w:t xml:space="preserve"> We added SPLADE specifically to decide between two explanations, and it decides: SPLADE learns its term weights — it is a neural encoder, trained on relevance — yet it is as susceptible as BM25 (</w:t>
      </w:r>
      <w:r>
        <w:rPr>
          <w:rFonts w:ascii="Times New Roman" w:hAnsi="Times New Roman" w:eastAsia="SimSun"/>
          <w:b/>
          <w:sz w:val="22"/>
        </w:rPr>
        <w:t>0.6250 versus 0.7500</w:t>
      </w:r>
      <w:r>
        <w:rPr>
          <w:rFonts w:ascii="Times New Roman" w:hAnsi="Times New Roman" w:eastAsia="SimSun"/>
          <w:sz w:val="22"/>
        </w:rPr>
        <w:t>), because its representation is still a sparse bag of term weights. The grouping that the data supports is: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representation</w:t>
            </w:r>
          </w:p>
        </w:tc>
        <w:tc>
          <w:tcPr>
            <w:tcW w:type="dxa" w:w="3213"/>
            <w:shd w:val="clear" w:color="auto" w:fill="DCE6F1"/>
          </w:tcPr>
          <w:p>
            <w:pPr>
              <w:spacing w:line="240" w:lineRule="auto" w:after="0"/>
            </w:pPr>
            <w:r>
              <w:rPr>
                <w:rFonts w:ascii="Times New Roman" w:hAnsi="Times New Roman" w:eastAsia="SimSun"/>
                <w:b/>
                <w:sz w:val="19"/>
              </w:rPr>
              <w:t>retrievers</w:t>
            </w:r>
          </w:p>
        </w:tc>
        <w:tc>
          <w:tcPr>
            <w:tcW w:type="dxa" w:w="3213"/>
            <w:shd w:val="clear" w:color="auto" w:fill="DCE6F1"/>
          </w:tcPr>
          <w:p>
            <w:pPr>
              <w:spacing w:line="240" w:lineRule="auto" w:after="0"/>
            </w:pPr>
            <w:r>
              <w:rPr>
                <w:rFonts w:ascii="Times New Roman" w:hAnsi="Times New Roman" w:eastAsia="SimSun"/>
                <w:b/>
                <w:sz w:val="19"/>
              </w:rPr>
              <w:t>text attack</w:t>
            </w:r>
          </w:p>
        </w:tc>
      </w:tr>
      <w:tr>
        <w:tc>
          <w:tcPr>
            <w:tcW w:type="dxa" w:w="3213"/>
          </w:tcPr>
          <w:p>
            <w:pPr>
              <w:spacing w:line="240" w:lineRule="auto" w:after="0"/>
            </w:pPr>
            <w:r>
              <w:rPr>
                <w:rFonts w:ascii="Times New Roman" w:hAnsi="Times New Roman" w:eastAsia="SimSun"/>
                <w:b/>
                <w:sz w:val="19"/>
              </w:rPr>
              <w:t>sparse</w:t>
            </w:r>
            <w:r>
              <w:rPr>
                <w:rFonts w:ascii="Times New Roman" w:hAnsi="Times New Roman" w:eastAsia="SimSun"/>
                <w:sz w:val="19"/>
              </w:rPr>
              <w:t xml:space="preserve"> (term-level weights, learned or not)</w:t>
            </w:r>
          </w:p>
        </w:tc>
        <w:tc>
          <w:tcPr>
            <w:tcW w:type="dxa" w:w="3213"/>
          </w:tcPr>
          <w:p>
            <w:pPr>
              <w:spacing w:line="240" w:lineRule="auto" w:after="0"/>
            </w:pPr>
            <w:r>
              <w:rPr>
                <w:rFonts w:ascii="Times New Roman" w:hAnsi="Times New Roman" w:eastAsia="SimSun"/>
                <w:sz w:val="19"/>
              </w:rPr>
              <w:t>BM25, SPLADE</w:t>
            </w:r>
          </w:p>
        </w:tc>
        <w:tc>
          <w:tcPr>
            <w:tcW w:type="dxa" w:w="3213"/>
          </w:tcPr>
          <w:p>
            <w:pPr>
              <w:spacing w:line="240" w:lineRule="auto" w:after="0"/>
            </w:pPr>
            <w:r>
              <w:rPr>
                <w:rFonts w:ascii="Times New Roman" w:hAnsi="Times New Roman" w:eastAsia="SimSun"/>
                <w:b/>
                <w:sz w:val="19"/>
              </w:rPr>
              <w:t>susceptible</w:t>
            </w:r>
            <w:r>
              <w:rPr>
                <w:rFonts w:ascii="Times New Roman" w:hAnsi="Times New Roman" w:eastAsia="SimSun"/>
                <w:sz w:val="19"/>
              </w:rPr>
              <w:t xml:space="preserve"> (0.62–0.75)</w:t>
            </w:r>
          </w:p>
        </w:tc>
      </w:tr>
      <w:tr>
        <w:tc>
          <w:tcPr>
            <w:tcW w:type="dxa" w:w="3213"/>
          </w:tcPr>
          <w:p>
            <w:pPr>
              <w:spacing w:line="240" w:lineRule="auto" w:after="0"/>
            </w:pPr>
            <w:r>
              <w:rPr>
                <w:rFonts w:ascii="Times New Roman" w:hAnsi="Times New Roman" w:eastAsia="SimSun"/>
                <w:sz w:val="19"/>
              </w:rPr>
              <w:t>hashed (preserves the lexical surface)</w:t>
            </w:r>
          </w:p>
        </w:tc>
        <w:tc>
          <w:tcPr>
            <w:tcW w:type="dxa" w:w="3213"/>
          </w:tcPr>
          <w:p>
            <w:pPr>
              <w:spacing w:line="240" w:lineRule="auto" w:after="0"/>
            </w:pPr>
            <w:r>
              <w:rPr>
                <w:rFonts w:ascii="Times New Roman" w:hAnsi="Times New Roman" w:eastAsia="SimSun"/>
                <w:sz w:val="19"/>
              </w:rPr>
              <w:t>feature hashing</w:t>
            </w:r>
          </w:p>
        </w:tc>
        <w:tc>
          <w:tcPr>
            <w:tcW w:type="dxa" w:w="3213"/>
          </w:tcPr>
          <w:p>
            <w:pPr>
              <w:spacing w:line="240" w:lineRule="auto" w:after="0"/>
            </w:pPr>
            <w:r>
              <w:rPr>
                <w:rFonts w:ascii="Times New Roman" w:hAnsi="Times New Roman" w:eastAsia="SimSun"/>
                <w:sz w:val="19"/>
              </w:rPr>
              <w:t>susceptible (0.6250)</w:t>
            </w:r>
          </w:p>
        </w:tc>
      </w:tr>
      <w:tr>
        <w:tc>
          <w:tcPr>
            <w:tcW w:type="dxa" w:w="3213"/>
          </w:tcPr>
          <w:p>
            <w:pPr>
              <w:spacing w:line="240" w:lineRule="auto" w:after="0"/>
            </w:pPr>
            <w:r>
              <w:rPr>
                <w:rFonts w:ascii="Times New Roman" w:hAnsi="Times New Roman" w:eastAsia="SimSun"/>
                <w:b/>
                <w:sz w:val="19"/>
              </w:rPr>
              <w:t>dense semantic</w:t>
            </w:r>
          </w:p>
        </w:tc>
        <w:tc>
          <w:tcPr>
            <w:tcW w:type="dxa" w:w="3213"/>
          </w:tcPr>
          <w:p>
            <w:pPr>
              <w:spacing w:line="240" w:lineRule="auto" w:after="0"/>
            </w:pPr>
            <w:r>
              <w:rPr>
                <w:rFonts w:ascii="Times New Roman" w:hAnsi="Times New Roman" w:eastAsia="SimSun"/>
                <w:sz w:val="19"/>
              </w:rPr>
              <w:t>GTE-base, E5-base-v2</w:t>
            </w:r>
          </w:p>
        </w:tc>
        <w:tc>
          <w:tcPr>
            <w:tcW w:type="dxa" w:w="3213"/>
          </w:tcPr>
          <w:p>
            <w:pPr>
              <w:spacing w:line="240" w:lineRule="auto" w:after="0"/>
            </w:pPr>
            <w:r>
              <w:rPr>
                <w:rFonts w:ascii="Times New Roman" w:hAnsi="Times New Roman" w:eastAsia="SimSun"/>
                <w:b/>
                <w:sz w:val="19"/>
              </w:rPr>
              <w:t>resistant</w:t>
            </w:r>
            <w:r>
              <w:rPr>
                <w:rFonts w:ascii="Times New Roman" w:hAnsi="Times New Roman" w:eastAsia="SimSun"/>
                <w:sz w:val="19"/>
              </w:rPr>
              <w:t xml:space="preserve"> (0.0625)</w:t>
            </w:r>
          </w:p>
        </w:tc>
      </w:tr>
      <w:tr>
        <w:tc>
          <w:tcPr>
            <w:tcW w:type="dxa" w:w="3213"/>
          </w:tcPr>
          <w:p>
            <w:pPr>
              <w:spacing w:line="240" w:lineRule="auto" w:after="0"/>
            </w:pPr>
            <w:r>
              <w:rPr>
                <w:rFonts w:ascii="Times New Roman" w:hAnsi="Times New Roman" w:eastAsia="SimSun"/>
                <w:sz w:val="19"/>
              </w:rPr>
              <w:t>dense semantic</w:t>
            </w:r>
          </w:p>
        </w:tc>
        <w:tc>
          <w:tcPr>
            <w:tcW w:type="dxa" w:w="3213"/>
          </w:tcPr>
          <w:p>
            <w:pPr>
              <w:spacing w:line="240" w:lineRule="auto" w:after="0"/>
            </w:pPr>
            <w:r>
              <w:rPr>
                <w:rFonts w:ascii="Times New Roman" w:hAnsi="Times New Roman" w:eastAsia="SimSun"/>
                <w:b/>
                <w:sz w:val="19"/>
              </w:rPr>
              <w:t>Contriever</w:t>
            </w:r>
          </w:p>
        </w:tc>
        <w:tc>
          <w:tcPr>
            <w:tcW w:type="dxa" w:w="3213"/>
          </w:tcPr>
          <w:p>
            <w:pPr>
              <w:spacing w:line="240" w:lineRule="auto" w:after="0"/>
            </w:pPr>
            <w:r>
              <w:rPr>
                <w:rFonts w:ascii="Times New Roman" w:hAnsi="Times New Roman" w:eastAsia="SimSun"/>
                <w:sz w:val="19"/>
              </w:rPr>
              <w:t>susceptible (0.5625)</w:t>
            </w:r>
          </w:p>
        </w:tc>
      </w:tr>
    </w:tbl>
    <w:p/>
    <w:p>
      <w:r>
        <w:rPr>
          <w:rFonts w:ascii="Times New Roman" w:hAnsi="Times New Roman" w:eastAsia="SimSun"/>
          <w:sz w:val="22"/>
        </w:rPr>
        <w:t xml:space="preserve">The mechanism is now clear and follows from how the attack works. The injection raises its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 including a learned one — does exactly that, so the attacker's appended terms translate directly into score. A dense encoder compresses the whole passage into one vector, where appended terms are absorbed into the semantic representation and produce no separate term-level gain. We had expected a lexical-versus-semantic split; </w:t>
      </w:r>
      <w:r>
        <w:rPr>
          <w:rFonts w:ascii="Times New Roman" w:hAnsi="Times New Roman" w:eastAsia="SimSun"/>
          <w:b/>
          <w:sz w:val="22"/>
        </w:rPr>
        <w:t>sparsity is the operative property, and semantics only matters through it.</w:t>
      </w:r>
    </w:p>
    <w:p>
      <w:r>
        <w:rPr>
          <w:rFonts w:ascii="Times New Roman" w:hAnsi="Times New Roman" w:eastAsia="SimSun"/>
          <w:b/>
          <w:sz w:val="22"/>
        </w:rPr>
        <w:t>This finding has a measured boundary, and we state it here rather than burying it in the limitations.</w:t>
      </w:r>
      <w:r>
        <w:rPr>
          <w:rFonts w:ascii="Times New Roman" w:hAnsi="Times New Roman" w:eastAsia="SimSun"/>
          <w:sz w:val="22"/>
        </w:rPr>
        <w:t xml:space="preserve"> §5.6 pairs each of these encoders with its larger sibling from the same family and finds that sparsity predicts susceptibility </w:t>
      </w:r>
      <w:r>
        <w:rPr>
          <w:rFonts w:ascii="Times New Roman" w:hAnsi="Times New Roman" w:eastAsia="SimSun"/>
          <w:i/>
          <w:sz w:val="22"/>
        </w:rPr>
        <w:t>at a fixed scale</w:t>
      </w:r>
      <w:r>
        <w:rPr>
          <w:rFonts w:ascii="Times New Roman" w:hAnsi="Times New Roman" w:eastAsia="SimSun"/>
          <w:sz w:val="22"/>
        </w:rPr>
        <w:t xml:space="preserve"> but does not determine it: GTE-large is dense and semantic, yet is eight times more susceptible than GTE-base. Sparsity is therefore a strong correlate and a useful heuristic for choosing a back-end, not a law. The version of Finding 7 we are prepared to defend is the weaker one — </w:t>
      </w:r>
      <w:r>
        <w:rPr>
          <w:rFonts w:ascii="Times New Roman" w:hAnsi="Times New Roman" w:eastAsia="SimSun"/>
          <w:b/>
          <w:sz w:val="22"/>
        </w:rPr>
        <w:t>susceptibility is a property of the specific checkpoint and must be measured</w:t>
      </w:r>
      <w:r>
        <w:rPr>
          <w:rFonts w:ascii="Times New Roman" w:hAnsi="Times New Roman" w:eastAsia="SimSun"/>
          <w:sz w:val="22"/>
        </w:rPr>
        <w:t xml:space="preserve"> — with sparsity the best available predictor among the axes we varied.</w:t>
      </w:r>
    </w:p>
    <w:p>
      <w:r>
        <w:rPr>
          <w:rFonts w:ascii="Times New Roman" w:hAnsi="Times New Roman" w:eastAsia="SimSun"/>
          <w:sz w:val="22"/>
        </w:rPr>
        <w:t xml:space="preserve">Two consequences, and the second is the uncomfortable one. One observation is worth recording first because it surprised us: SPLADE is the </w:t>
      </w:r>
      <w:r>
        <w:rPr>
          <w:rFonts w:ascii="Times New Roman" w:hAnsi="Times New Roman" w:eastAsia="SimSun"/>
          <w:i/>
          <w:sz w:val="22"/>
        </w:rPr>
        <w:t>most</w:t>
      </w:r>
      <w:r>
        <w:rPr>
          <w:rFonts w:ascii="Times New Roman" w:hAnsi="Times New Roman" w:eastAsia="SimSun"/>
          <w:sz w:val="22"/>
        </w:rPr>
        <w:t xml:space="preserve"> efficiently attacked of the six on the R2 dimension, reaching the maximum stance gap 1.0000 against a text-only attack where BM25 reaches only 0.7436 — its learned term weighting evidently concentrates score on exactly the terms the attacker appends.</w:t>
      </w:r>
    </w:p>
    <w:p>
      <w:r>
        <w:rPr>
          <w:rFonts w:ascii="Times New Roman" w:hAnsi="Times New Roman" w:eastAsia="SimSun"/>
          <w:sz w:val="22"/>
        </w:rPr>
        <w:t>First, a feature-hashing retriever is not a substitute for a semantic one: it preserves the lexical surface (0.6250, close to BM25's 0.7500) and therefore over-states text-attack effectiveness relative to a dense encoder. This is why our own earlier numbers, produced with it, were too pessimistic about encoder robustness.</w:t>
      </w:r>
    </w:p>
    <w:p>
      <w:r>
        <w:rPr>
          <w:rFonts w:ascii="Times New Roman" w:hAnsi="Times New Roman" w:eastAsia="SimSun"/>
          <w:sz w:val="22"/>
        </w:rPr>
        <w:t xml:space="preserve">Second, </w:t>
      </w:r>
      <w:r>
        <w:rPr>
          <w:rFonts w:ascii="Times New Roman" w:hAnsi="Times New Roman" w:eastAsia="SimSun"/>
          <w:b/>
          <w:sz w:val="22"/>
        </w:rPr>
        <w:t>"dense semantic" is not a guarantee — Contriever is the counterexample.</w:t>
      </w:r>
      <w:r>
        <w:rPr>
          <w:rFonts w:ascii="Times New Roman" w:hAnsi="Times New Roman" w:eastAsia="SimSun"/>
          <w:sz w:val="22"/>
        </w:rPr>
        <w:t xml:space="preserve"> Two of the three dense encoders resist almost completely (0.0625) while Contriever sits near BM25 (0.5625), a nine-fold gap between encoders of the same size class on the same corpus with the same injected text. And Contriever is the encoder used by the fair-ranking work we compare against [8]. A defense evaluated on Contriever would appear to face a live text-injection threat; the same defense on E5-base-v2 or GTE-base would face a negligible one. Because evaluations in this literature are typically run on a single encoder, a reported robustness figure conflates the defense's behaviour with an encoder property that is not measured. We do not regard this as a flaw in any particular paper so much as a </w:t>
      </w:r>
      <w:r>
        <w:rPr>
          <w:rFonts w:ascii="Times New Roman" w:hAnsi="Times New Roman" w:eastAsia="SimSun"/>
          <w:b/>
          <w:sz w:val="22"/>
        </w:rPr>
        <w:t>missing control</w:t>
      </w:r>
      <w:r>
        <w:rPr>
          <w:rFonts w:ascii="Times New Roman" w:hAnsi="Times New Roman" w:eastAsia="SimSun"/>
          <w:sz w:val="22"/>
        </w:rPr>
        <w:t>: the encoder should be reported as a factor rather than as an implementation detail, and a robustness claim should be accompanied by the same measurement on encoders that differ in representation family.</w:t>
      </w:r>
    </w:p>
    <w:p>
      <w:r>
        <w:rPr>
          <w:rFonts w:ascii="Times New Roman" w:hAnsi="Times New Roman" w:eastAsia="SimSun"/>
          <w:b/>
          <w:sz w:val="22"/>
        </w:rPr>
        <w:t>Adaptive attacker, for completeness.</w:t>
      </w:r>
      <w:r>
        <w:rPr>
          <w:rFonts w:ascii="Times New Roman" w:hAnsi="Times New Roman" w:eastAsia="SimSun"/>
          <w:sz w:val="22"/>
        </w:rPr>
        <w:t xml:space="preserve"> On both SPLADE and E5-base-v2 every defense again collapses to complete failure at the first perturbation step: </w:t>
      </w:r>
      <w:r>
        <w:rPr>
          <w:rFonts w:ascii="Consolas" w:hAnsi="Consolas" w:eastAsia="Consolas"/>
          <w:sz w:val="21"/>
        </w:rPr>
        <w:t>off-manifold</w:t>
      </w:r>
      <w:r>
        <w:rPr>
          <w:rFonts w:ascii="Times New Roman" w:hAnsi="Times New Roman" w:eastAsia="SimSun"/>
          <w:sz w:val="22"/>
        </w:rPr>
        <w:t xml:space="preserve"> goes 0.1875 → 0.5000 → 0.8125 → 1.000 (SPLADE) and 0.000 → 1.000 (E5-base-v2) for $\lambda = 0, 0.25, 0.5, 1$; </w:t>
      </w:r>
      <w:r>
        <w:rPr>
          <w:rFonts w:ascii="Consolas" w:hAnsi="Consolas" w:eastAsia="Consolas"/>
          <w:sz w:val="21"/>
        </w:rPr>
        <w:t>multi_query</w:t>
      </w:r>
      <w:r>
        <w:rPr>
          <w:rFonts w:ascii="Times New Roman" w:hAnsi="Times New Roman" w:eastAsia="SimSun"/>
          <w:sz w:val="22"/>
        </w:rPr>
        <w:t xml:space="preserve"> and </w:t>
      </w:r>
      <w:r>
        <w:rPr>
          <w:rFonts w:ascii="Consolas" w:hAnsi="Consolas" w:eastAsia="Consolas"/>
          <w:sz w:val="21"/>
        </w:rPr>
        <w:t>repr_conserving</w:t>
      </w:r>
      <w:r>
        <w:rPr>
          <w:rFonts w:ascii="Times New Roman" w:hAnsi="Times New Roman" w:eastAsia="SimSun"/>
          <w:sz w:val="22"/>
        </w:rPr>
        <w:t xml:space="preserve"> saturate by $\lambda = 0.25$. This matches the companion paper's finding that a real encoder leaves defenses less adaptive headroom than our own retriever.</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six retrievers and, decisively, holds </w:t>
      </w:r>
      <w:r>
        <w:rPr>
          <w:rFonts w:ascii="Times New Roman" w:hAnsi="Times New Roman" w:eastAsia="SimSun"/>
          <w:i/>
          <w:sz w:val="22"/>
        </w:rPr>
        <w:t>even when the attack moves R1 substantially</w:t>
      </w:r>
      <w:r>
        <w:rPr>
          <w:rFonts w:ascii="Times New Roman" w:hAnsi="Times New Roman" w:eastAsia="SimSun"/>
          <w:sz w:val="22"/>
        </w:rPr>
        <w:t xml:space="preserve"> (up to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representation family. Sparsity is the third term, and §5.5 shows it is the one with a mechanism behind it.</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the dense encoders: the R2 gap is already saturated at 1.0000 under every defense configuration at this injection rate, leaving no headroom to recover, so we can show the constraint reducing the gap only on BM25 and our own retrievers. Second, our earlier statement that text-level injection is sufficient must be narrowed to the sparse and hashed representations and to Contriever; against GTE-base and E5-base-v2 it does not hold at any injection rate we tested.</w:t>
      </w:r>
    </w:p>
    <w:p>
      <w:pPr>
        <w:shd w:val="clear" w:color="auto" w:fill="DCE6F1"/>
        <w:spacing w:before="200" w:after="80"/>
      </w:pPr>
      <w:r>
        <w:rPr>
          <w:rFonts w:ascii="Times New Roman" w:hAnsi="Times New Roman" w:eastAsia="Microsoft YaHei"/>
          <w:b/>
          <w:sz w:val="26"/>
        </w:rPr>
        <w:t>5.6 Encoder scale: susceptibility is not a smooth function of size</w:t>
      </w:r>
    </w:p>
    <w:p>
      <w:r>
        <w:rPr>
          <w:rFonts w:ascii="Times New Roman" w:hAnsi="Times New Roman" w:eastAsia="SimSun"/>
          <w:sz w:val="22"/>
        </w:rPr>
        <w:t xml:space="preserve">The backbone comparison above covers six retrievers at </w:t>
      </w:r>
      <w:r>
        <w:rPr>
          <w:rFonts w:ascii="Times New Roman" w:hAnsi="Times New Roman" w:eastAsia="SimSun"/>
          <w:i/>
          <w:sz w:val="22"/>
        </w:rPr>
        <w:t>base</w:t>
      </w:r>
      <w:r>
        <w:rPr>
          <w:rFonts w:ascii="Times New Roman" w:hAnsi="Times New Roman" w:eastAsia="SimSun"/>
          <w:sz w:val="22"/>
        </w:rPr>
        <w:t xml:space="preserve"> size. A natural objection is that encoder choice is a nuisance parameter of the implementation rather than a finding — that a larger checkpoint, being better trained, would simply be more robust, and that the spread would narrow. An earlier draft of this paper asserted as much, predicting that larger checkpoints "give no reason to expect agreement" without measuring it. We have now measured it, and </w:t>
      </w:r>
      <w:r>
        <w:rPr>
          <w:rFonts w:ascii="Times New Roman" w:hAnsi="Times New Roman" w:eastAsia="SimSun"/>
          <w:b/>
          <w:sz w:val="22"/>
        </w:rPr>
        <w:t>the prediction was right in direction but far too weak in magnitude: scaling up flips one encoder family from resistant to susceptible.</w:t>
      </w:r>
    </w:p>
    <w:p>
      <w:r>
        <w:rPr>
          <w:rFonts w:ascii="Times New Roman" w:hAnsi="Times New Roman" w:eastAsia="SimSun"/>
          <w:sz w:val="22"/>
        </w:rPr>
        <w:t xml:space="preserve">We pair each base encoder with its larger sibling from the </w:t>
      </w:r>
      <w:r>
        <w:rPr>
          <w:rFonts w:ascii="Times New Roman" w:hAnsi="Times New Roman" w:eastAsia="SimSun"/>
          <w:i/>
          <w:sz w:val="22"/>
        </w:rPr>
        <w:t>same</w:t>
      </w:r>
      <w:r>
        <w:rPr>
          <w:rFonts w:ascii="Times New Roman" w:hAnsi="Times New Roman" w:eastAsia="SimSun"/>
          <w:sz w:val="22"/>
        </w:rPr>
        <w:t xml:space="preserve"> family and training recipe, holding corpus, injection rate, attack and defenses fixed: GTE-base → </w:t>
      </w:r>
      <w:r>
        <w:rPr>
          <w:rFonts w:ascii="Times New Roman" w:hAnsi="Times New Roman" w:eastAsia="SimSun"/>
          <w:b/>
          <w:sz w:val="22"/>
        </w:rPr>
        <w:t>GTE-large</w:t>
      </w:r>
      <w:r>
        <w:rPr>
          <w:rFonts w:ascii="Times New Roman" w:hAnsi="Times New Roman" w:eastAsia="SimSun"/>
          <w:sz w:val="22"/>
        </w:rPr>
        <w:t xml:space="preserve">, E5-base-v2 → </w:t>
      </w:r>
      <w:r>
        <w:rPr>
          <w:rFonts w:ascii="Times New Roman" w:hAnsi="Times New Roman" w:eastAsia="SimSun"/>
          <w:b/>
          <w:sz w:val="22"/>
        </w:rPr>
        <w:t>E5-large-v2</w:t>
      </w:r>
      <w:r>
        <w:rPr>
          <w:rFonts w:ascii="Times New Roman" w:hAnsi="Times New Roman" w:eastAsia="SimSun"/>
          <w:sz w:val="22"/>
        </w:rPr>
        <w:t xml:space="preserve">, and SPLADE (distil) → </w:t>
      </w:r>
      <w:r>
        <w:rPr>
          <w:rFonts w:ascii="Times New Roman" w:hAnsi="Times New Roman" w:eastAsia="SimSun"/>
          <w:b/>
          <w:sz w:val="22"/>
        </w:rPr>
        <w:t>SPLADE-efficient-large</w:t>
      </w:r>
      <w:r>
        <w:rPr>
          <w:rFonts w:ascii="Times New Roman" w:hAnsi="Times New Roman" w:eastAsia="SimSun"/>
          <w:sz w:val="22"/>
        </w:rPr>
        <w:t xml:space="preserve"> (the published large SPLADE, which splits into separately fine-tuned query and document encoders).</w:t>
      </w:r>
    </w:p>
    <w:p>
      <w:r>
        <w:rPr>
          <w:rFonts w:ascii="Times New Roman" w:hAnsi="Times New Roman" w:eastAsia="SimSun"/>
          <w:b/>
          <w:sz w:val="22"/>
        </w:rPr>
        <w:t>Table 11.</w:t>
      </w:r>
      <w:r>
        <w:rPr>
          <w:rFonts w:ascii="Times New Roman" w:hAnsi="Times New Roman" w:eastAsia="SimSun"/>
          <w:sz w:val="22"/>
        </w:rPr>
        <w:t xml:space="preserve"> Text-only (lexical) attack, $\rho = 0.5\%$, no defense. Base/large pairs from the same family.</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params</w:t>
            </w:r>
          </w:p>
        </w:tc>
        <w:tc>
          <w:tcPr>
            <w:tcW w:type="dxa" w:w="1928"/>
            <w:shd w:val="clear" w:color="auto" w:fill="DCE6F1"/>
          </w:tcPr>
          <w:p>
            <w:pPr>
              <w:spacing w:line="240" w:lineRule="auto" w:after="0"/>
            </w:pPr>
            <w:r>
              <w:rPr>
                <w:rFonts w:ascii="Consolas" w:hAnsi="Consolas" w:eastAsia="Consolas"/>
                <w:b/>
                <w:sz w:val="18"/>
              </w:rPr>
              <w:t>poison@k</w:t>
            </w:r>
          </w:p>
        </w:tc>
        <w:tc>
          <w:tcPr>
            <w:tcW w:type="dxa" w:w="1928"/>
            <w:shd w:val="clear" w:color="auto" w:fill="DCE6F1"/>
          </w:tcPr>
          <w:p>
            <w:pPr>
              <w:spacing w:line="240" w:lineRule="auto" w:after="0"/>
            </w:pPr>
            <w:r>
              <w:rPr>
                <w:rFonts w:ascii="Times New Roman" w:hAnsi="Times New Roman" w:eastAsia="SimSun"/>
                <w:b/>
                <w:sz w:val="19"/>
              </w:rPr>
              <w:t>R1 drift</w:t>
            </w:r>
          </w:p>
        </w:tc>
        <w:tc>
          <w:tcPr>
            <w:tcW w:type="dxa" w:w="1928"/>
            <w:shd w:val="clear" w:color="auto" w:fill="DCE6F1"/>
          </w:tcPr>
          <w:p>
            <w:pPr>
              <w:spacing w:line="240" w:lineRule="auto" w:after="0"/>
            </w:pPr>
            <w:r>
              <w:rPr>
                <w:rFonts w:ascii="Times New Roman" w:hAnsi="Times New Roman" w:eastAsia="SimSun"/>
                <w:b/>
                <w:sz w:val="19"/>
              </w:rPr>
              <w:t>R2 gap</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b/>
                <w:sz w:val="19"/>
              </w:rPr>
              <w:t>GTE-large</w:t>
            </w:r>
          </w:p>
        </w:tc>
        <w:tc>
          <w:tcPr>
            <w:tcW w:type="dxa" w:w="1928"/>
          </w:tcPr>
          <w:p>
            <w:pPr>
              <w:spacing w:line="240" w:lineRule="auto" w:after="0"/>
            </w:pPr>
            <w:r>
              <w:rPr>
                <w:rFonts w:ascii="Times New Roman" w:hAnsi="Times New Roman" w:eastAsia="SimSun"/>
                <w:sz w:val="19"/>
              </w:rPr>
              <w:t>335M</w:t>
            </w:r>
          </w:p>
        </w:tc>
        <w:tc>
          <w:tcPr>
            <w:tcW w:type="dxa" w:w="1928"/>
          </w:tcPr>
          <w:p>
            <w:pPr>
              <w:spacing w:line="240" w:lineRule="auto" w:after="0"/>
            </w:pPr>
            <w:r>
              <w:rPr>
                <w:rFonts w:ascii="Times New Roman" w:hAnsi="Times New Roman" w:eastAsia="SimSun"/>
                <w:b/>
                <w:sz w:val="19"/>
              </w:rPr>
              <w:t>0.5000</w:t>
            </w:r>
          </w:p>
        </w:tc>
        <w:tc>
          <w:tcPr>
            <w:tcW w:type="dxa" w:w="1928"/>
          </w:tcPr>
          <w:p>
            <w:pPr>
              <w:spacing w:line="240" w:lineRule="auto" w:after="0"/>
            </w:pPr>
            <w:r>
              <w:rPr>
                <w:rFonts w:ascii="Times New Roman" w:hAnsi="Times New Roman" w:eastAsia="SimSun"/>
                <w:sz w:val="19"/>
              </w:rPr>
              <w:t>0.1313</w:t>
            </w:r>
          </w:p>
        </w:tc>
        <w:tc>
          <w:tcPr>
            <w:tcW w:type="dxa" w:w="1928"/>
          </w:tcPr>
          <w:p>
            <w:pPr>
              <w:spacing w:line="240" w:lineRule="auto" w:after="0"/>
            </w:pPr>
            <w:r>
              <w:rPr>
                <w:rFonts w:ascii="Times New Roman" w:hAnsi="Times New Roman" w:eastAsia="SimSun"/>
                <w:sz w:val="19"/>
              </w:rPr>
              <w:t>0.9444</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b/>
                <w:sz w:val="19"/>
              </w:rPr>
              <w:t>E5-large-v2</w:t>
            </w:r>
          </w:p>
        </w:tc>
        <w:tc>
          <w:tcPr>
            <w:tcW w:type="dxa" w:w="1928"/>
          </w:tcPr>
          <w:p>
            <w:pPr>
              <w:spacing w:line="240" w:lineRule="auto" w:after="0"/>
            </w:pPr>
            <w:r>
              <w:rPr>
                <w:rFonts w:ascii="Times New Roman" w:hAnsi="Times New Roman" w:eastAsia="SimSun"/>
                <w:sz w:val="19"/>
              </w:rPr>
              <w:t>335M</w:t>
            </w:r>
          </w:p>
        </w:tc>
        <w:tc>
          <w:tcPr>
            <w:tcW w:type="dxa" w:w="1928"/>
          </w:tcPr>
          <w:p>
            <w:pPr>
              <w:spacing w:line="240" w:lineRule="auto" w:after="0"/>
            </w:pPr>
            <w:r>
              <w:rPr>
                <w:rFonts w:ascii="Times New Roman" w:hAnsi="Times New Roman" w:eastAsia="SimSun"/>
                <w:b/>
                <w:sz w:val="19"/>
              </w:rPr>
              <w:t>0.0000</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sz w:val="19"/>
              </w:rPr>
              <w:t>SPLADE distil</w:t>
            </w:r>
          </w:p>
        </w:tc>
        <w:tc>
          <w:tcPr>
            <w:tcW w:type="dxa" w:w="1928"/>
          </w:tcPr>
          <w:p>
            <w:pPr>
              <w:spacing w:line="240" w:lineRule="auto" w:after="0"/>
            </w:pPr>
            <w:r>
              <w:rPr>
                <w:rFonts w:ascii="Times New Roman" w:hAnsi="Times New Roman" w:eastAsia="SimSun"/>
                <w:sz w:val="19"/>
              </w:rPr>
              <w:t>66M</w:t>
            </w:r>
          </w:p>
        </w:tc>
        <w:tc>
          <w:tcPr>
            <w:tcW w:type="dxa" w:w="1928"/>
          </w:tcPr>
          <w:p>
            <w:pPr>
              <w:spacing w:line="240" w:lineRule="auto" w:after="0"/>
            </w:pPr>
            <w:r>
              <w:rPr>
                <w:rFonts w:ascii="Times New Roman" w:hAnsi="Times New Roman" w:eastAsia="SimSun"/>
                <w:sz w:val="19"/>
              </w:rPr>
              <w:t>0.6250</w:t>
            </w:r>
          </w:p>
        </w:tc>
        <w:tc>
          <w:tcPr>
            <w:tcW w:type="dxa" w:w="1928"/>
          </w:tcPr>
          <w:p>
            <w:pPr>
              <w:spacing w:line="240" w:lineRule="auto" w:after="0"/>
            </w:pPr>
            <w:r>
              <w:rPr>
                <w:rFonts w:ascii="Times New Roman" w:hAnsi="Times New Roman" w:eastAsia="SimSun"/>
                <w:sz w:val="19"/>
              </w:rPr>
              <w:t>0.2188</w:t>
            </w:r>
          </w:p>
        </w:tc>
        <w:tc>
          <w:tcPr>
            <w:tcW w:type="dxa" w:w="1928"/>
          </w:tcPr>
          <w:p>
            <w:pPr>
              <w:spacing w:line="240" w:lineRule="auto" w:after="0"/>
            </w:pPr>
            <w:r>
              <w:rPr>
                <w:rFonts w:ascii="Times New Roman" w:hAnsi="Times New Roman" w:eastAsia="SimSun"/>
                <w:sz w:val="19"/>
              </w:rPr>
              <w:t>1.0000</w:t>
            </w:r>
          </w:p>
        </w:tc>
      </w:tr>
      <w:tr>
        <w:tc>
          <w:tcPr>
            <w:tcW w:type="dxa" w:w="1928"/>
          </w:tcPr>
          <w:p>
            <w:pPr>
              <w:spacing w:line="240" w:lineRule="auto" w:after="0"/>
            </w:pPr>
            <w:r>
              <w:rPr>
                <w:rFonts w:ascii="Times New Roman" w:hAnsi="Times New Roman" w:eastAsia="SimSun"/>
                <w:b/>
                <w:sz w:val="19"/>
              </w:rPr>
              <w:t>SPLADE large</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sz w:val="19"/>
              </w:rPr>
              <w:t>0.5625</w:t>
            </w:r>
          </w:p>
        </w:tc>
        <w:tc>
          <w:tcPr>
            <w:tcW w:type="dxa" w:w="1928"/>
          </w:tcPr>
          <w:p>
            <w:pPr>
              <w:spacing w:line="240" w:lineRule="auto" w:after="0"/>
            </w:pPr>
            <w:r>
              <w:rPr>
                <w:rFonts w:ascii="Times New Roman" w:hAnsi="Times New Roman" w:eastAsia="SimSun"/>
                <w:sz w:val="19"/>
              </w:rPr>
              <w:t>0.1875</w:t>
            </w:r>
          </w:p>
        </w:tc>
        <w:tc>
          <w:tcPr>
            <w:tcW w:type="dxa" w:w="1928"/>
          </w:tcPr>
          <w:p>
            <w:pPr>
              <w:spacing w:line="240" w:lineRule="auto" w:after="0"/>
            </w:pPr>
            <w:r>
              <w:rPr>
                <w:rFonts w:ascii="Times New Roman" w:hAnsi="Times New Roman" w:eastAsia="SimSun"/>
                <w:sz w:val="19"/>
              </w:rPr>
              <w:t>0.8810</w:t>
            </w:r>
          </w:p>
        </w:tc>
      </w:tr>
    </w:tbl>
    <w:p/>
    <w:p>
      <w:r>
        <w:rPr>
          <w:rFonts w:ascii="Times New Roman" w:hAnsi="Times New Roman" w:eastAsia="SimSun"/>
          <w:b/>
          <w:sz w:val="22"/>
        </w:rPr>
        <w:t>Finding 11. Text-attack susceptibility is a per-checkpoint property that is not monotone in encoder scale, and scaling can destroy resistance entirely.</w:t>
      </w:r>
      <w:r>
        <w:rPr>
          <w:rFonts w:ascii="Times New Roman" w:hAnsi="Times New Roman" w:eastAsia="SimSun"/>
          <w:sz w:val="22"/>
        </w:rPr>
        <w:t xml:space="preserve"> GTE-base and E5-base-v2 are equally resistant at base size — both at 0.0625, i.e. the attack succeeds on three of 48 queries.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while GTE-large becomes eight times more susceptible (0.0625 → 0.5000, succeeding on 24 of 48 queries).</w:t>
      </w:r>
      <w:r>
        <w:rPr>
          <w:rFonts w:ascii="Times New Roman" w:hAnsi="Times New Roman" w:eastAsia="SimSun"/>
          <w:sz w:val="22"/>
        </w:rPr>
        <w:t xml:space="preserve"> SPLADE is susceptible at both scales with little change (0.6250 → 0.5625), so the learned-sparse result is stable under scaling even though its own size increase is modest.</w:t>
      </w:r>
    </w:p>
    <w:p>
      <w:r>
        <w:rPr>
          <w:rFonts w:ascii="Times New Roman" w:hAnsi="Times New Roman" w:eastAsia="SimSun"/>
          <w:sz w:val="22"/>
        </w:rPr>
        <w:t xml:space="preserve">Two things make this more than a curiosity. First, it is a same-family, same-recipe comparison on identical data, so it cannot be attributed to corpus, rate, or attack construction — the only variable is the checkpoint. Second, the per-query distribution is discrete: adversarial inclusion is 0 or 1 per query with nothing in between, so the change from 3 to 24 affected queries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 A system whose retrieval robustness was validated on GTE-base would become substantially more attackable by the routine act of upgrading the embedder.</w:t>
      </w:r>
    </w:p>
    <w:p>
      <w:r>
        <w:rPr>
          <w:rFonts w:ascii="Times New Roman" w:hAnsi="Times New Roman" w:eastAsia="SimSun"/>
          <w:b/>
          <w:sz w:val="22"/>
        </w:rPr>
        <w:t>Mechanism.</w:t>
      </w:r>
      <w:r>
        <w:rPr>
          <w:rFonts w:ascii="Times New Roman" w:hAnsi="Times New Roman" w:eastAsia="SimSun"/>
          <w:sz w:val="22"/>
        </w:rPr>
        <w:t xml:space="preserve"> We tested the obvious explanation and it is wrong, which makes the result more informative rather than less. If GTE-large's embedding space were more </w:t>
      </w:r>
      <w:r>
        <w:rPr>
          <w:rFonts w:ascii="Times New Roman" w:hAnsi="Times New Roman" w:eastAsia="SimSun"/>
          <w:i/>
          <w:sz w:val="22"/>
        </w:rPr>
        <w:t>anisotropic</w:t>
      </w:r>
      <w:r>
        <w:rPr>
          <w:rFonts w:ascii="Times New Roman" w:hAnsi="Times New Roman" w:eastAsia="SimSun"/>
          <w:sz w:val="22"/>
        </w:rPr>
        <w:t xml:space="preserve"> — vectors collapsed into a narrower cone — then a fixed textual nudge would move rank further, and the finding would reduce to a known geometric property. We measured it: GTE-base and GTE-large are near-identical in mean pairwise cosine (0.8484 vs 0.8579), in effective dimensionality (13.2 in both, against 768 and 1024 nominal dimensions), and in the spread of query similarity (top-decile spread 0.0860 vs 0.0895). The same holds for the E5 pair (0.8291 / 0.8375 anisotropy, 13.9 / 14.8 effective dimensions). </w:t>
      </w:r>
      <w:r>
        <w:rPr>
          <w:rFonts w:ascii="Times New Roman" w:hAnsi="Times New Roman" w:eastAsia="SimSun"/>
          <w:b/>
          <w:sz w:val="22"/>
        </w:rPr>
        <w:t>Embedding geometry does not explain the scale effect.</w:t>
      </w:r>
    </w:p>
    <w:p>
      <w:r>
        <w:rPr>
          <w:rFonts w:ascii="Times New Roman" w:hAnsi="Times New Roman" w:eastAsia="SimSun"/>
          <w:sz w:val="22"/>
        </w:rPr>
        <w:t>What does explain it is the size of the gain the attack buys. Measuring the injected passages directly against the clean corpus, for the same queries:</w:t>
      </w:r>
    </w:p>
    <w:p>
      <w:r>
        <w:rPr>
          <w:rFonts w:ascii="Times New Roman" w:hAnsi="Times New Roman" w:eastAsia="SimSun"/>
          <w:b/>
          <w:sz w:val="22"/>
        </w:rPr>
        <w:t>Table 12.</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 (</w:t>
            </w:r>
            <w:r>
              <w:rPr>
                <w:rFonts w:ascii="Consolas" w:hAnsi="Consolas" w:eastAsia="Consolas"/>
                <w:sz w:val="18"/>
              </w:rPr>
              <w:t>poison − clean</w:t>
            </w:r>
            <w:r>
              <w:rPr>
                <w:rFonts w:ascii="Times New Roman" w:hAnsi="Times New Roman" w:eastAsia="SimSun"/>
                <w:sz w:val="19"/>
              </w:rPr>
              <w:t>)</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(best-poison cosine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xml:space="preserve">. Because the mean margin is only about −0.007, a gain difference of +0.0085 is enough to carry a large fraction of queries across the threshold — which is exactly the 3-to-24 shift in affected queries. Susceptibility here is not a property of the space but of </w:t>
      </w:r>
      <w:r>
        <w:rPr>
          <w:rFonts w:ascii="Times New Roman" w:hAnsi="Times New Roman" w:eastAsia="SimSun"/>
          <w:i/>
          <w:sz w:val="22"/>
        </w:rPr>
        <w:t>how much a fixed lexical perturbation moves a passage within it</w:t>
      </w:r>
      <w:r>
        <w:rPr>
          <w:rFonts w:ascii="Times New Roman" w:hAnsi="Times New Roman" w:eastAsia="SimSun"/>
          <w:sz w:val="22"/>
        </w:rPr>
        <w:t>, and that quantity is not predictable from architecture, dimensionality, size, or geometry. This is what we mean by saying the property must be measured: it is the interaction between the attack's vocabulary and the encoder's learned weighting of it, and no coarse descriptor of the encoder we have tried predicts it.</w:t>
      </w:r>
    </w:p>
    <w:p>
      <w:r>
        <w:rPr>
          <w:rFonts w:ascii="Times New Roman" w:hAnsi="Times New Roman" w:eastAsia="SimSun"/>
          <w:b/>
          <w:sz w:val="22"/>
        </w:rPr>
        <w:t>Finding 6b. The R1 constraint remains inert at large scale.</w:t>
      </w:r>
      <w:r>
        <w:rPr>
          <w:rFonts w:ascii="Times New Roman" w:hAnsi="Times New Roman" w:eastAsia="SimSun"/>
          <w:sz w:val="22"/>
        </w:rPr>
        <w:t xml:space="preserve"> Table 13 extends the §5.2 inertness check to the large checkpoints.</w:t>
      </w:r>
    </w:p>
    <w:p>
      <w:r>
        <w:rPr>
          <w:rFonts w:ascii="Times New Roman" w:hAnsi="Times New Roman" w:eastAsia="SimSun"/>
          <w:b/>
          <w:sz w:val="22"/>
        </w:rPr>
        <w:t>Table 13.</w:t>
      </w:r>
      <w:r>
        <w:rPr>
          <w:rFonts w:ascii="Times New Roman" w:hAnsi="Times New Roman" w:eastAsia="SimSun"/>
          <w:sz w:val="22"/>
        </w:rPr>
        <w:t xml:space="preserve"> R1-only constraint inertness on large back-ends.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hash-dense (own)</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BM25 (lexical)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Across all eight back-ends and both constraint configurations, the difference is exactly zero. This is now the fourth independent setting in which the inertness holds — two corpora, six base retrievers, and the large checkpoints — and it remains the paper's most robust result. Note that the projection attack reaches complete inclusion (1.0000) on GTE-large, on E5-large-v2 and on SPLADE-large, so the constraint is inert in the worst case rather than in a marginal one.</w:t>
      </w:r>
    </w:p>
    <w:p>
      <w:r>
        <w:rPr>
          <w:rFonts w:ascii="Times New Roman" w:hAnsi="Times New Roman" w:eastAsia="SimSun"/>
          <w:b/>
          <w:sz w:val="22"/>
        </w:rPr>
        <w:t>Consequences for Finding 7.</w:t>
      </w:r>
      <w:r>
        <w:rPr>
          <w:rFonts w:ascii="Times New Roman" w:hAnsi="Times New Roman" w:eastAsia="SimSun"/>
          <w:sz w:val="22"/>
        </w:rPr>
        <w:t xml:space="preserve"> Finding 7 identified sparsity as the operative property behind the base-size spread. The scale check bounds that claim rather than refuting it: sparsity still predicts susceptibility </w:t>
      </w:r>
      <w:r>
        <w:rPr>
          <w:rFonts w:ascii="Times New Roman" w:hAnsi="Times New Roman" w:eastAsia="SimSun"/>
          <w:i/>
          <w:sz w:val="22"/>
        </w:rPr>
        <w:t>at a fixed scale</w:t>
      </w:r>
      <w:r>
        <w:rPr>
          <w:rFonts w:ascii="Times New Roman" w:hAnsi="Times New Roman" w:eastAsia="SimSun"/>
          <w:sz w:val="22"/>
        </w:rPr>
        <w:t xml:space="preserve"> (both sparse retrievers susceptible, and the one resistant-at-both-scales encoder is dense), but it is not sufficient, because GTE-large is dense and semantic yet susceptible. The honest form of Finding 7 is therefore that </w:t>
      </w:r>
      <w:r>
        <w:rPr>
          <w:rFonts w:ascii="Times New Roman" w:hAnsi="Times New Roman" w:eastAsia="SimSun"/>
          <w:b/>
          <w:sz w:val="22"/>
        </w:rPr>
        <w:t>the sparse/dense split is a strong correlate at base size and a heuristic, not a law</w:t>
      </w:r>
      <w:r>
        <w:rPr>
          <w:rFonts w:ascii="Times New Roman" w:hAnsi="Times New Roman" w:eastAsia="SimSun"/>
          <w:sz w:val="22"/>
        </w:rPr>
        <w:t>, and the only fully reliable statement is the weaker one: susceptibility is a property of the specific checkpoint, and it must be measured rather than inferred from architecture or size.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14.</w:t>
      </w:r>
      <w:r>
        <w:rPr>
          <w:rFonts w:ascii="Times New Roman" w:hAnsi="Times New Roman" w:eastAsia="SimSun"/>
          <w:sz w:val="22"/>
        </w:rPr>
        <w:t xml:space="preserve"> Generation-layer stance by condition.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Finding 8. The retrieval-layer skew propagates to the generated output.</w:t>
      </w:r>
      <w:r>
        <w:rPr>
          <w:rFonts w:ascii="Times New Roman" w:hAnsi="Times New Roman" w:eastAsia="SimSun"/>
          <w:sz w:val="22"/>
        </w:rPr>
        <w:t xml:space="preserve"> The generation-layer stance gap rises from 0.2708 to 0.3958 under poisoning — a 46% increase on a fixed generator with only the context changed. The retrieval-layer failure we document is therefore not an artefact of how we measure retrieval: it changes what the system says.</w:t>
      </w:r>
    </w:p>
    <w:p>
      <w:r>
        <w:rPr>
          <w:rFonts w:ascii="Times New Roman" w:hAnsi="Times New Roman" w:eastAsia="SimSun"/>
          <w:b/>
          <w:sz w:val="22"/>
        </w:rPr>
        <w:t>Finding 9. The skew does not appear as a uniform shift; it saturates one group.</w:t>
      </w:r>
      <w:r>
        <w:rPr>
          <w:rFonts w:ascii="Times New Roman" w:hAnsi="Times New Roman" w:eastAsia="SimSun"/>
          <w:sz w:val="22"/>
        </w:rPr>
        <w:t xml:space="preserve"> The favourable rate for the second group rises monotonically across conditions (</w:t>
      </w:r>
      <w:r>
        <w:rPr>
          <w:rFonts w:ascii="Times New Roman" w:hAnsi="Times New Roman" w:eastAsia="SimSun"/>
          <w:b/>
          <w:sz w:val="22"/>
        </w:rPr>
        <w:t>0.708 → 0.979 → 1.000 → 1.000</w:t>
      </w:r>
      <w:r>
        <w:rPr>
          <w:rFonts w:ascii="Times New Roman" w:hAnsi="Times New Roman" w:eastAsia="SimSun"/>
          <w:sz w:val="22"/>
        </w:rPr>
        <w:t>) while the first group's rate is essentially flat (0.562 → 0.583 → 0.604 → 0.583). The attack does not make the generator "more biased" in a diffuse sense; it drives one group's favourable judgement to ceiling. This is a more specific — and more concerning — failure mode than a uniform shift, and it is visible only because we measure the two groups separately.</w:t>
      </w:r>
    </w:p>
    <w:p>
      <w:r>
        <w:rPr>
          <w:rFonts w:ascii="Times New Roman" w:hAnsi="Times New Roman" w:eastAsia="SimSun"/>
          <w:b/>
          <w:sz w:val="22"/>
        </w:rPr>
        <w:t>Finding 10. Neither constraint improves the generation layer, and one makes it slightly worse.</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the gap identical to no defence (0.3958); </w:t>
      </w:r>
      <w:r>
        <w:rPr>
          <w:rFonts w:ascii="Consolas" w:hAnsi="Consolas" w:eastAsia="Consolas"/>
          <w:sz w:val="21"/>
        </w:rPr>
        <w:t>r2both</w:t>
      </w:r>
      <w:r>
        <w:rPr>
          <w:rFonts w:ascii="Times New Roman" w:hAnsi="Times New Roman" w:eastAsia="SimSun"/>
          <w:sz w:val="22"/>
        </w:rPr>
        <w:t xml:space="preserve"> leaves it slightly higher (0.4167). This is consistent with the retrieval-layer result on this backbone, where the R2 gap is already saturated and the R1 constraint is inert (§5.5): the input to the generator is unchanged, so the output is unchanged. We report it because it closes the loop honestly — the constraints we proposed, evaluated here, do not repair the downstream harm.</w:t>
      </w:r>
    </w:p>
    <w:p>
      <w:r>
        <w:rPr>
          <w:rFonts w:ascii="Times New Roman" w:hAnsi="Times New Roman" w:eastAsia="SimSun"/>
          <w:b/>
          <w:sz w:val="22"/>
        </w:rPr>
        <w:t>A metric that failed, reported because it is the natural one to reach for.</w:t>
      </w:r>
      <w:r>
        <w:rPr>
          <w:rFonts w:ascii="Times New Roman" w:hAnsi="Times New Roman" w:eastAsia="SimSun"/>
          <w:sz w:val="22"/>
        </w:rPr>
        <w:t xml:space="preserve"> We implemented the expected-attributed-exposure (EAE-D) statistic of Kim &amp; Diaz [8] by asking the generator, per retrieved passage, whether its answer relied on that passage. It returns </w:t>
      </w:r>
      <w:r>
        <w:rPr>
          <w:rFonts w:ascii="Times New Roman" w:hAnsi="Times New Roman" w:eastAsia="SimSun"/>
          <w:b/>
          <w:sz w:val="22"/>
        </w:rPr>
        <w:t>1.000 in every condition</w:t>
      </w:r>
      <w:r>
        <w:rPr>
          <w:rFonts w:ascii="Times New Roman" w:hAnsi="Times New Roman" w:eastAsia="SimSun"/>
          <w:sz w:val="22"/>
        </w:rPr>
        <w:t xml:space="preserve">, with no discrimination. The reason is structural rather than a coding error: the answer is generated </w:t>
      </w:r>
      <w:r>
        <w:rPr>
          <w:rFonts w:ascii="Times New Roman" w:hAnsi="Times New Roman" w:eastAsia="SimSun"/>
          <w:i/>
          <w:sz w:val="22"/>
        </w:rPr>
        <w:t>from</w:t>
      </w:r>
      <w:r>
        <w:rPr>
          <w:rFonts w:ascii="Times New Roman" w:hAnsi="Times New Roman" w:eastAsia="SimSun"/>
          <w:sz w:val="22"/>
        </w:rPr>
        <w:t xml:space="preserve"> the context, so a "did you rely on this?" probe admits YES for essentially any passage present. Proper attribution — "which passages did you rely on?" — is what [8] measures by entailment rather than by self-report, and our self-report implementation does not replicate it. We report the failure because EAE-D is the obvious metric at this interface and a reader should know that its cheap version is uninformative here.</w:t>
      </w:r>
    </w:p>
    <w:p>
      <w:r>
        <w:rPr>
          <w:rFonts w:ascii="Times New Roman" w:hAnsi="Times New Roman" w:eastAsia="SimSun"/>
          <w:b/>
          <w:sz w:val="22"/>
        </w:rPr>
        <w:t>Scope.</w:t>
      </w:r>
      <w:r>
        <w:rPr>
          <w:rFonts w:ascii="Times New Roman" w:hAnsi="Times New Roman" w:eastAsia="SimSun"/>
          <w:sz w:val="22"/>
        </w:rPr>
        <w:t xml:space="preserve"> One generator, one retrieval backbone (GTE-base), one injection rate, 48 queries. The direction and the saturation pattern are clear; the magnitudes should not be extrapolated.</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12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b/>
          <w:sz w:val="22"/>
        </w:rPr>
        <w:t>Table 15.</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No generation-stage evaluation *beyond §5.7*.</w:t>
      </w:r>
      <w:r>
        <w:rPr>
          <w:rFonts w:ascii="Times New Roman" w:hAnsi="Times New Roman" w:eastAsia="SimSun"/>
          <w:sz w:val="22"/>
        </w:rPr>
        <w:t xml:space="preserve"> We evaluate at the retrieval layer by design, so the R1/R2 mechanism is measurable without a generator. §5.7 adds a first generation-stage check on a single generator and backbone; it establishes that the skew propagates and that it saturates one group, but not the magnitude. A multi-generator evaluation, and proper entailment-based attribution rather than the self-report probe that failed in §5.7, remain to be done.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12</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