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across four retrievers the text attack succeeds 0.750 (BM25), 0.625 (feature hashing), 0.5625 (Contriever) and 0.0625 (GTE-base) — a nine-fold spread between two real encoders of the same size class.</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four-way backbone comparison shows it varies by an order of magnitude. We also show by backbone alignment that the inertness does not depend on the attack leaving R1 undisturbed: on real encoders the attack moves R1 by 0.37–0.47, more than three times as much as on our own retrievers, and the R1 constraint remains inert at every budget setting.</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(§5.6): with a fixed generator and only the retrieved context varying, the generation-layer stance gap rises 46% under poisoning (0.271 → 0.396), and it does so by driving one group's favourable rate to ceiling (0.708 → 1.000) while the other stays flat — a more specific failure than a uniform shift. Neither constraint repairs this.</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two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An empirical demonstration that R1-constraining defenses are inert against this attack, including the strictest budget setting, across two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 the real encoders GTE-base [5] and Contriever [8]. SPLADE and the E5 family (used by [4, 6]) remain to be added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two real semantic encoders, and §5.6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four retrievers, including two real semantic encoders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 and </w:t>
      </w:r>
      <w:r>
        <w:rPr>
          <w:rFonts w:ascii="Times New Roman" w:hAnsi="Times New Roman" w:eastAsia="SimSun"/>
          <w:b/>
          <w:sz w:val="22"/>
        </w:rPr>
        <w:t>Contriever</w:t>
      </w:r>
      <w:r>
        <w:rPr>
          <w:rFonts w:ascii="Times New Roman" w:hAnsi="Times New Roman" w:eastAsia="SimSun"/>
          <w:sz w:val="22"/>
        </w:rPr>
        <w:t>, used by the fair-ranking work of Kim &amp; Diaz [8]. All four are compared at a matched injection rate on the controlled corpus, so only the retriever varies.</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Consolas" w:hAnsi="Consolas" w:eastAsia="Consolas"/>
                <w:b/>
                <w:sz w:val="18"/>
              </w:rPr>
              <w:t>in_pool_rate</w:t>
            </w:r>
          </w:p>
        </w:tc>
      </w:tr>
      <w:tr>
        <w:tc>
          <w:tcPr>
            <w:tcW w:type="dxa" w:w="1928"/>
          </w:tcPr>
          <w:p>
            <w:pPr>
              <w:spacing w:line="240" w:lineRule="auto" w:after="0"/>
            </w:pPr>
            <w:r>
              <w:rPr>
                <w:rFonts w:ascii="Times New Roman" w:hAnsi="Times New Roman" w:eastAsia="SimSun"/>
                <w:sz w:val="19"/>
              </w:rPr>
              <w:t>BM25 (lexical)</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0.0125</w:t>
            </w:r>
          </w:p>
        </w:tc>
      </w:tr>
      <w:tr>
        <w:tc>
          <w:tcPr>
            <w:tcW w:type="dxa" w:w="1928"/>
          </w:tcPr>
          <w:p>
            <w:pPr>
              <w:spacing w:line="240" w:lineRule="auto" w:after="0"/>
            </w:pPr>
            <w:r>
              <w:rPr>
                <w:rFonts w:ascii="Times New Roman" w:hAnsi="Times New Roman" w:eastAsia="SimSun"/>
                <w:sz w:val="19"/>
              </w:rPr>
              <w:t>dense (feature hashing)</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0.4688</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0.3687</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Both real encoders are attacked at least as completely as either of our own retrievers, and the R2 gap saturates at its maximum in every case. Notably their R1 drift is </w:t>
      </w:r>
      <w:r>
        <w:rPr>
          <w:rFonts w:ascii="Times New Roman" w:hAnsi="Times New Roman" w:eastAsia="SimSun"/>
          <w:b/>
          <w:sz w:val="22"/>
        </w:rPr>
        <w:t>2.3x–2.9x</w:t>
      </w:r>
      <w:r>
        <w:rPr>
          <w:rFonts w:ascii="Times New Roman" w:hAnsi="Times New Roman" w:eastAsia="SimSun"/>
          <w:sz w:val="22"/>
        </w:rPr>
        <w:t xml:space="preserve"> that of the lexical and hashed retrievers (0.37–0.47 versus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real semantic space than in a feature-hashed one,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Does the R1-only constraint stay inert on real encoders? </w:t>
      </w:r>
      <w:r>
        <w:rPr>
          <w:rFonts w:ascii="Consolas" w:hAnsi="Consolas" w:eastAsia="Consolas"/>
          <w:sz w:val="21"/>
        </w:rPr>
        <w:t>template_plus_projection</w:t>
      </w:r>
      <w:r>
        <w:rPr>
          <w:rFonts w:ascii="Times New Roman" w:hAnsi="Times New Roman" w:eastAsia="SimSun"/>
          <w:sz w:val="22"/>
        </w:rPr>
        <w:t>, $\rho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vs. no defense</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bl>
    <w:p/>
    <w:p>
      <w:r>
        <w:rPr>
          <w:rFonts w:ascii="Times New Roman" w:hAnsi="Times New Roman" w:eastAsia="SimSun"/>
          <w:b/>
          <w:sz w:val="22"/>
        </w:rPr>
        <w:t>Finding 6. The R1 constraint is inert on every backbone tested,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real encoders it does perturb R1, by 0.37–0.47, more than three times as much as on our own retrievers. It nonetheless admits exactly the same adversarial passages as no defence at all,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defence enforces: the tolerance parameter widens or narrows the admissible region without ever excluding the attacker's passages, which were built to be compositionally typical. An R1 constraint has no operating point at which it bites, and this holds across four retrievers spanning lexical, hashed, and two distinct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ρ=0.5%</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ρ=2%</w:t>
            </w:r>
          </w:p>
        </w:tc>
        <w:tc>
          <w:tcPr>
            <w:tcW w:type="dxa" w:w="2409"/>
            <w:shd w:val="clear" w:color="auto" w:fill="DCE6F1"/>
          </w:tcPr>
          <w:p>
            <w:pPr>
              <w:spacing w:line="240" w:lineRule="auto" w:after="0"/>
            </w:pPr>
            <w:r>
              <w:rPr>
                <w:rFonts w:ascii="Times New Roman" w:hAnsi="Times New Roman" w:eastAsia="SimSun"/>
                <w:b/>
                <w:sz w:val="19"/>
              </w:rPr>
              <w:t>R1 drift @ ρ=0.5%</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0.1625</w:t>
            </w:r>
          </w:p>
        </w:tc>
      </w:tr>
      <w:tr>
        <w:tc>
          <w:tcPr>
            <w:tcW w:type="dxa" w:w="2409"/>
          </w:tcPr>
          <w:p>
            <w:pPr>
              <w:spacing w:line="240" w:lineRule="auto" w:after="0"/>
            </w:pPr>
            <w:r>
              <w:rPr>
                <w:rFonts w:ascii="Times New Roman" w:hAnsi="Times New Roman" w:eastAsia="SimSun"/>
                <w:sz w:val="19"/>
              </w:rPr>
              <w:t>dense (feature hashing)</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0.0812</w:t>
            </w:r>
          </w:p>
        </w:tc>
      </w:tr>
      <w:tr>
        <w:tc>
          <w:tcPr>
            <w:tcW w:type="dxa" w:w="2409"/>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0.5625</w:t>
            </w:r>
          </w:p>
        </w:tc>
        <w:tc>
          <w:tcPr>
            <w:tcW w:type="dxa" w:w="2409"/>
          </w:tcPr>
          <w:p>
            <w:pPr>
              <w:spacing w:line="240" w:lineRule="auto" w:after="0"/>
            </w:pPr>
            <w:r>
              <w:rPr>
                <w:rFonts w:ascii="Times New Roman" w:hAnsi="Times New Roman" w:eastAsia="SimSun"/>
                <w:sz w:val="19"/>
              </w:rPr>
              <w:t>0.5625</w:t>
            </w:r>
          </w:p>
        </w:tc>
        <w:tc>
          <w:tcPr>
            <w:tcW w:type="dxa" w:w="2409"/>
          </w:tcPr>
          <w:p>
            <w:pPr>
              <w:spacing w:line="240" w:lineRule="auto" w:after="0"/>
            </w:pPr>
            <w:r>
              <w:rPr>
                <w:rFonts w:ascii="Times New Roman" w:hAnsi="Times New Roman" w:eastAsia="SimSun"/>
                <w:sz w:val="19"/>
              </w:rPr>
              <w:t>0.1750</w:t>
            </w:r>
          </w:p>
        </w:tc>
      </w:tr>
      <w:tr>
        <w:tc>
          <w:tcPr>
            <w:tcW w:type="dxa" w:w="2409"/>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0.0625</w:t>
            </w:r>
          </w:p>
        </w:tc>
        <w:tc>
          <w:tcPr>
            <w:tcW w:type="dxa" w:w="2409"/>
          </w:tcPr>
          <w:p>
            <w:pPr>
              <w:spacing w:line="240" w:lineRule="auto" w:after="0"/>
            </w:pPr>
            <w:r>
              <w:rPr>
                <w:rFonts w:ascii="Times New Roman" w:hAnsi="Times New Roman" w:eastAsia="SimSun"/>
                <w:sz w:val="19"/>
              </w:rPr>
              <w:t>0.0625</w:t>
            </w:r>
          </w:p>
        </w:tc>
        <w:tc>
          <w:tcPr>
            <w:tcW w:type="dxa" w:w="2409"/>
          </w:tcPr>
          <w:p>
            <w:pPr>
              <w:spacing w:line="240" w:lineRule="auto" w:after="0"/>
            </w:pPr>
            <w:r>
              <w:rPr>
                <w:rFonts w:ascii="Times New Roman" w:hAnsi="Times New Roman" w:eastAsia="SimSun"/>
                <w:sz w:val="19"/>
              </w:rPr>
              <w:t>0.0000</w:t>
            </w:r>
          </w:p>
        </w:tc>
      </w:tr>
    </w:tbl>
    <w:p/>
    <w:p>
      <w:r>
        <w:rPr>
          <w:rFonts w:ascii="Times New Roman" w:hAnsi="Times New Roman" w:eastAsia="SimSun"/>
          <w:b/>
          <w:sz w:val="22"/>
        </w:rPr>
        <w:t>Finding 7. Text-attack effectiveness is not predictable from whether an encoder is semantic — it varies by an order of magnitude across real encoders.</w:t>
      </w:r>
      <w:r>
        <w:rPr>
          <w:rFonts w:ascii="Times New Roman" w:hAnsi="Times New Roman" w:eastAsia="SimSun"/>
          <w:sz w:val="22"/>
        </w:rPr>
        <w:t xml:space="preserve"> We expected, when adding this experiment, to find a clean lexical-versus-semantic split. The result is not that: Contriever succeeds at 0.5625 while GTE-base succeeds at 0.0625, a </w:t>
      </w:r>
      <w:r>
        <w:rPr>
          <w:rFonts w:ascii="Times New Roman" w:hAnsi="Times New Roman" w:eastAsia="SimSun"/>
          <w:b/>
          <w:sz w:val="22"/>
        </w:rPr>
        <w:t>nine-fold difference between two encoders of the same size class, on the same corpus, with the same injected text.</w:t>
      </w:r>
      <w:r>
        <w:rPr>
          <w:rFonts w:ascii="Times New Roman" w:hAnsi="Times New Roman" w:eastAsia="SimSun"/>
          <w:sz w:val="22"/>
        </w:rPr>
        <w:t xml:space="preserve"> What is true is the weaker statement that a feature-hashing retriever is not a substitute for a semantic one — it retains the lexical attack surface (0.625, close to BM25's 0.750) and therefore over-states text-attack effectiveness relative to a real encoder. We flag this because our own earlier numbers were produced with it.</w:t>
      </w:r>
    </w:p>
    <w:p>
      <w:r>
        <w:rPr>
          <w:rFonts w:ascii="Times New Roman" w:hAnsi="Times New Roman" w:eastAsia="SimSun"/>
          <w:sz w:val="22"/>
        </w:rPr>
        <w:t xml:space="preserve">The practical implication is uncomfortable for the evaluation of any RAG retrieval defence: </w:t>
      </w:r>
      <w:r>
        <w:rPr>
          <w:rFonts w:ascii="Times New Roman" w:hAnsi="Times New Roman" w:eastAsia="SimSun"/>
          <w:b/>
          <w:sz w:val="22"/>
        </w:rPr>
        <w:t>a defence's measured robustness depends on an attacker–encoder interaction that is not captured by an "is it semantic" heuristic.</w:t>
      </w:r>
      <w:r>
        <w:rPr>
          <w:rFonts w:ascii="Times New Roman" w:hAnsi="Times New Roman" w:eastAsia="SimSun"/>
          <w:sz w:val="22"/>
        </w:rPr>
        <w:t xml:space="preserve"> Reporting results on a single encoder, as is standard, cannot distinguish a defence that blocks this attack from one that is merely paired with an encoder the attack happens not to suit.</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four retrievers and, decisively, it holds </w:t>
      </w:r>
      <w:r>
        <w:rPr>
          <w:rFonts w:ascii="Times New Roman" w:hAnsi="Times New Roman" w:eastAsia="SimSun"/>
          <w:i/>
          <w:sz w:val="22"/>
        </w:rPr>
        <w:t>even when the attack moves R1 substantially</w:t>
      </w:r>
      <w:r>
        <w:rPr>
          <w:rFonts w:ascii="Times New Roman" w:hAnsi="Times New Roman" w:eastAsia="SimSun"/>
          <w:sz w:val="22"/>
        </w:rPr>
        <w:t xml:space="preserve">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encoder. We no longer claim it is a property of the corpus alone.</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real encoders: the R2 gap is already saturated at 1.0000 under every defence configuration at this injection rate, leaving no headroom to recover, so we can show the constraint reducing the gap only on our own encoders. Second, our earlier statement that text-level injection is sufficient must be narrowed to the lexical and hashed retrievers; against GTE-base it is not sufficient at any injection rate we tested.</w:t>
      </w:r>
    </w:p>
    <w:p>
      <w:pPr>
        <w:shd w:val="clear" w:color="auto" w:fill="DCE6F1"/>
        <w:spacing w:before="200" w:after="80"/>
      </w:pPr>
      <w:r>
        <w:rPr>
          <w:rFonts w:ascii="Times New Roman" w:hAnsi="Times New Roman" w:eastAsia="Microsoft YaHei"/>
          <w:b/>
          <w:sz w:val="26"/>
        </w:rPr>
        <w:t>5.6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11.</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four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GTE-base, and Contriever (§5.5) — four retrievers spanning lexical, hashed, and two distinct semantic representations. GTE-base matches the backbone of the closest prior work [5] and Contriever that of [8]; E5-base/E5-large (as in [4, 6]) and SPLADE remain to be added. We note that feature-hashing dense retrieval retains the lexical attack surface and should not be read as a stand-in for a semantic encoder — Finding 7 quantifies the difference. More importantly, Finding 7 shows that text-attack effectiveness varies </w:t>
      </w:r>
      <w:r>
        <w:rPr>
          <w:rFonts w:ascii="Times New Roman" w:hAnsi="Times New Roman" w:eastAsia="SimSun"/>
          <w:b/>
          <w:sz w:val="22"/>
        </w:rPr>
        <w:t>nine-fold between two real encoders of the same size class</w:t>
      </w:r>
      <w:r>
        <w:rPr>
          <w:rFonts w:ascii="Times New Roman" w:hAnsi="Times New Roman" w:eastAsia="SimSun"/>
          <w:sz w:val="22"/>
        </w:rPr>
        <w:t xml:space="preserve"> (Contriever 0.5625 versus GTE-base 0.0625), so a single-encoder evaluation cannot establish how robust a defence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 *beyond §5.6*.</w:t>
      </w:r>
      <w:r>
        <w:rPr>
          <w:rFonts w:ascii="Times New Roman" w:hAnsi="Times New Roman" w:eastAsia="SimSun"/>
          <w:sz w:val="22"/>
        </w:rPr>
        <w:t xml:space="preserve"> We evaluate at the retrieval layer by design, so the R1/R2 mechanism is measurable without a generator. §5.6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§5.6,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§5.6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configs/align_multi.json  # GTE + Contriever,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§5.6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