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Fairness defenses for retrieval-augmented generation (RAG) are selected and validated using aggregate statistics of the retrieved set: the proportion of passages about each protected group, the deviation of a group's stance from a corpus reference, or the exposure of items across repeated requests. Every such statistic has the same form — a per-group quantity aggregated across groups — and we show that an adversary who knows this can defeat the aggregation in exactly </w:t>
      </w:r>
      <w:r>
        <w:rPr>
          <w:rFonts w:ascii="Times New Roman" w:hAnsi="Times New Roman" w:eastAsia="SimSun"/>
          <w:b/>
          <w:sz w:val="22"/>
        </w:rPr>
        <w:t>three ways</w:t>
      </w:r>
      <w:r>
        <w:rPr>
          <w:rFonts w:ascii="Times New Roman" w:hAnsi="Times New Roman" w:eastAsia="SimSun"/>
          <w:sz w:val="22"/>
        </w:rPr>
        <w:t>, which together explain why the defenses built on these statistics fail:</w:t>
      </w:r>
    </w:p>
    <w:p>
      <w:pPr>
        <w:pStyle w:val="ListBullet"/>
        <w:spacing w:line="360" w:lineRule="auto"/>
      </w:pPr>
      <w:r>
        <w:rPr>
          <w:rFonts w:ascii="Times New Roman" w:hAnsi="Times New Roman" w:eastAsia="SimSun"/>
          <w:b/>
          <w:sz w:val="22"/>
        </w:rPr>
        <w:t>F1, balanced count.</w:t>
      </w:r>
      <w:r>
        <w:rPr>
          <w:rFonts w:ascii="Times New Roman" w:hAnsi="Times New Roman" w:eastAsia="SimSun"/>
          <w:sz w:val="22"/>
        </w:rPr>
        <w:t xml:space="preserve"> The injection contributes equally to every group, so any statistic over group counts returns its clean value.</w:t>
      </w:r>
    </w:p>
    <w:p>
      <w:pPr>
        <w:pStyle w:val="ListBullet"/>
        <w:spacing w:line="360" w:lineRule="auto"/>
      </w:pPr>
      <w:r>
        <w:rPr>
          <w:rFonts w:ascii="Times New Roman" w:hAnsi="Times New Roman" w:eastAsia="SimSun"/>
          <w:b/>
          <w:sz w:val="22"/>
        </w:rPr>
        <w:t>F2, preserved nuisance.</w:t>
      </w:r>
      <w:r>
        <w:rPr>
          <w:rFonts w:ascii="Times New Roman" w:hAnsi="Times New Roman" w:eastAsia="SimSun"/>
          <w:sz w:val="22"/>
        </w:rPr>
        <w:t xml:space="preserve"> The statistic is anchored to a reference the attack does not change, so it reports the component that varies with the query rather than the one that varies with the attack.</w:t>
      </w:r>
    </w:p>
    <w:p>
      <w:pPr>
        <w:pStyle w:val="ListBullet"/>
        <w:spacing w:line="360" w:lineRule="auto"/>
      </w:pPr>
      <w:r>
        <w:rPr>
          <w:rFonts w:ascii="Times New Roman" w:hAnsi="Times New Roman" w:eastAsia="SimSun"/>
          <w:b/>
          <w:sz w:val="22"/>
        </w:rPr>
        <w:t>F3, cancelled shift.</w:t>
      </w:r>
      <w:r>
        <w:rPr>
          <w:rFonts w:ascii="Times New Roman" w:hAnsi="Times New Roman" w:eastAsia="SimSun"/>
          <w:sz w:val="22"/>
        </w:rPr>
        <w:t xml:space="preserve"> The attack moves all groups together, so any difference between groups is unchanged however far the groups move.</w:t>
      </w:r>
    </w:p>
    <w:p>
      <w:r>
        <w:rPr>
          <w:rFonts w:ascii="Times New Roman" w:hAnsi="Times New Roman" w:eastAsia="SimSun"/>
          <w:sz w:val="22"/>
        </w:rPr>
        <w:t xml:space="preserve">The three modes are not a description but a </w:t>
      </w:r>
      <w:r>
        <w:rPr>
          <w:rFonts w:ascii="Times New Roman" w:hAnsi="Times New Roman" w:eastAsia="SimSun"/>
          <w:b/>
          <w:sz w:val="22"/>
        </w:rPr>
        <w:t>test</w:t>
      </w:r>
      <w:r>
        <w:rPr>
          <w:rFonts w:ascii="Times New Roman" w:hAnsi="Times New Roman" w:eastAsia="SimSun"/>
          <w:sz w:val="22"/>
        </w:rPr>
        <w:t xml:space="preserve">: each can be checked against a candidate statistic before any attack is built, and we use them to predict which existing metrics will be blind. To separate </w:t>
      </w:r>
      <w:r>
        <w:rPr>
          <w:rFonts w:ascii="Times New Roman" w:hAnsi="Times New Roman" w:eastAsia="SimSun"/>
          <w:i/>
          <w:sz w:val="22"/>
        </w:rPr>
        <w:t>blind to this adversary</w:t>
      </w:r>
      <w:r>
        <w:rPr>
          <w:rFonts w:ascii="Times New Roman" w:hAnsi="Times New Roman" w:eastAsia="SimSun"/>
          <w:sz w:val="22"/>
        </w:rPr>
        <w:t xml:space="preserve"> from </w:t>
      </w:r>
      <w:r>
        <w:rPr>
          <w:rFonts w:ascii="Times New Roman" w:hAnsi="Times New Roman" w:eastAsia="SimSun"/>
          <w:i/>
          <w:sz w:val="22"/>
        </w:rPr>
        <w:t>broken instrument</w:t>
      </w:r>
      <w:r>
        <w:rPr>
          <w:rFonts w:ascii="Times New Roman" w:hAnsi="Times New Roman" w:eastAsia="SimSun"/>
          <w:sz w:val="22"/>
        </w:rPr>
        <w:t>, we add a positive control in which the ground truth changes by a known amount and the same statistics must respond: they do, monotonically and in the right direction.</w:t>
      </w:r>
    </w:p>
    <w:p>
      <w:r>
        <w:rPr>
          <w:rFonts w:ascii="Times New Roman" w:hAnsi="Times New Roman" w:eastAsia="SimSun"/>
          <w:sz w:val="22"/>
        </w:rPr>
        <w:t xml:space="preserve">The attack is </w:t>
      </w:r>
      <w:r>
        <w:rPr>
          <w:rFonts w:ascii="Times New Roman" w:hAnsi="Times New Roman" w:eastAsia="SimSun"/>
          <w:i/>
          <w:sz w:val="22"/>
        </w:rPr>
        <w:t>pairwise poisoning</w:t>
      </w:r>
      <w:r>
        <w:rPr>
          <w:rFonts w:ascii="Times New Roman" w:hAnsi="Times New Roman" w:eastAsia="SimSun"/>
          <w:sz w:val="22"/>
        </w:rPr>
        <w:t xml:space="preserve">: injected passages reuse the legitimate template inventory and differ only in which group they favour. Because the injection is balanced across groups by construction, it leaves every group-composition statistic clean while skewing the stance of the evidence. We formalise this as two orthogonal dimensions — </w:t>
      </w:r>
      <w:r>
        <w:rPr>
          <w:rFonts w:ascii="Times New Roman" w:hAnsi="Times New Roman" w:eastAsia="SimSun"/>
          <w:b/>
          <w:sz w:val="22"/>
        </w:rPr>
        <w:t>(R1) group composition</w:t>
      </w:r>
      <w:r>
        <w:rPr>
          <w:rFonts w:ascii="Times New Roman" w:hAnsi="Times New Roman" w:eastAsia="SimSun"/>
          <w:sz w:val="22"/>
        </w:rPr>
        <w:t xml:space="preserve"> and </w:t>
      </w:r>
      <w:r>
        <w:rPr>
          <w:rFonts w:ascii="Times New Roman" w:hAnsi="Times New Roman" w:eastAsia="SimSun"/>
          <w:b/>
          <w:sz w:val="22"/>
        </w:rPr>
        <w:t>(R2) within-group stance</w:t>
      </w:r>
      <w:r>
        <w:rPr>
          <w:rFonts w:ascii="Times New Roman" w:hAnsi="Times New Roman" w:eastAsia="SimSun"/>
          <w:sz w:val="22"/>
        </w:rPr>
        <w:t xml:space="preserve"> — and show that the blindness is not an accident of any one metric:</w:t>
      </w:r>
    </w:p>
    <w:p>
      <w:pPr>
        <w:pStyle w:val="ListNumber"/>
        <w:spacing w:line="360" w:lineRule="auto"/>
      </w:pPr>
      <w:r>
        <w:rPr>
          <w:rFonts w:ascii="Times New Roman" w:hAnsi="Times New Roman" w:eastAsia="SimSun"/>
          <w:b/>
          <w:sz w:val="22"/>
        </w:rPr>
        <w:t>Composition statistics do not move.</w:t>
      </w:r>
      <w:r>
        <w:rPr>
          <w:rFonts w:ascii="Times New Roman" w:hAnsi="Times New Roman" w:eastAsia="SimSun"/>
          <w:sz w:val="22"/>
        </w:rPr>
        <w:t xml:space="preserve"> R1 drift stays at or below the level legitimate retrieval variance produces, on both a controlled corpus and a naturally written bias benchmark.</w:t>
      </w:r>
    </w:p>
    <w:p>
      <w:pPr>
        <w:pStyle w:val="ListNumber"/>
        <w:spacing w:line="360" w:lineRule="auto"/>
      </w:pPr>
      <w:r>
        <w:rPr>
          <w:rFonts w:ascii="Times New Roman" w:hAnsi="Times New Roman" w:eastAsia="SimSun"/>
          <w:b/>
          <w:sz w:val="22"/>
        </w:rPr>
        <w:t>Two natural R2 statistics are also blind.</w:t>
      </w:r>
      <w:r>
        <w:rPr>
          <w:rFonts w:ascii="Times New Roman" w:hAnsi="Times New Roman" w:eastAsia="SimSun"/>
          <w:sz w:val="22"/>
        </w:rPr>
        <w:t xml:space="preserve"> Deviation of stance from a corpus reference (0.286 → 0.311) and one-sidedness of stance (0.467 → 0.500) are flat across the clean and fully attacked conditions, because a group-neutral query legitimately retrieves one-sided evidence, so both measure topic conditioning rather than group skew — a component the attack preserves. The statistic that responds is the cross-group stance gap.</w:t>
      </w:r>
    </w:p>
    <w:p>
      <w:pPr>
        <w:pStyle w:val="ListNumber"/>
        <w:spacing w:line="360" w:lineRule="auto"/>
      </w:pPr>
      <w:r>
        <w:rPr>
          <w:rFonts w:ascii="Times New Roman" w:hAnsi="Times New Roman" w:eastAsia="SimSun"/>
          <w:b/>
          <w:sz w:val="22"/>
        </w:rPr>
        <w:t>The right axis is the per-group shift, not the gap between groups — and we initially got this wrong ourselves.</w:t>
      </w:r>
      <w:r>
        <w:rPr>
          <w:rFonts w:ascii="Times New Roman" w:hAnsi="Times New Roman" w:eastAsia="SimSun"/>
          <w:sz w:val="22"/>
        </w:rPr>
        <w:t xml:space="preserve"> Every metric above is an absolute difference between groups. Because the corpus carries a pre-existing asymmetry and the attack </w:t>
      </w:r>
      <w:r>
        <w:rPr>
          <w:rFonts w:ascii="Times New Roman" w:hAnsi="Times New Roman" w:eastAsia="SimSun"/>
          <w:i/>
          <w:sz w:val="22"/>
        </w:rPr>
        <w:t>relocates both groups</w:t>
      </w:r>
      <w:r>
        <w:rPr>
          <w:rFonts w:ascii="Times New Roman" w:hAnsi="Times New Roman" w:eastAsia="SimSun"/>
          <w:sz w:val="22"/>
        </w:rPr>
        <w:t xml:space="preserve"> rather than opening a gap between them, an absolute difference discards the signal. Measured per group on our controlled corpus, injection moves the suppressed group's stance by −0.13 to −0.18 and the favoured group's by +0.13, consistently across </w:t>
      </w:r>
      <w:r>
        <w:rPr>
          <w:rFonts w:ascii="Times New Roman" w:hAnsi="Times New Roman" w:eastAsia="SimSun"/>
          <w:b/>
          <w:sz w:val="22"/>
        </w:rPr>
        <w:t>four generators spanning three model families</w:t>
      </w:r>
      <w:r>
        <w:rPr>
          <w:rFonts w:ascii="Times New Roman" w:hAnsi="Times New Roman" w:eastAsia="SimSun"/>
          <w:sz w:val="22"/>
        </w:rPr>
        <w:t xml:space="preserve"> — API-served Qwen and DeepSeek models plus an open-weight Mistral-7B run locally — at $p \le 0.0035$ in all six per-group comparisons; the absolute gap moves by less than 0.002 for three of the four. We reproduced, one level up, the exact error we identify at the retrieval layer. </w:t>
      </w:r>
      <w:r>
        <w:rPr>
          <w:rFonts w:ascii="Times New Roman" w:hAnsi="Times New Roman" w:eastAsia="SimSun"/>
          <w:b/>
          <w:sz w:val="22"/>
        </w:rPr>
        <w:t>On a naturally written corpus the same effect is present, but only a probe that forces a commitment can see it.</w:t>
      </w:r>
      <w:r>
        <w:rPr>
          <w:rFonts w:ascii="Times New Roman" w:hAnsi="Times New Roman" w:eastAsia="SimSun"/>
          <w:sz w:val="22"/>
        </w:rPr>
        <w:t xml:space="preserve"> The free-form measurement returns nothing on the full BBQ benchmark, and the reason is the instrument rather than the phenomenon: 99.0% of the answers it scores take no position at all (mean commitment 0.007 against 0.156 on the controlled corpus), so no effect of any size could appear in it. Replacing it with a forced-choice probe on identical retrieval conditions detects the effect — five per-group shifts at $p &lt; 0.05$ for one generator, the largest at $+0.63$ — and shows that it is </w:t>
      </w:r>
      <w:r>
        <w:rPr>
          <w:rFonts w:ascii="Times New Roman" w:hAnsi="Times New Roman" w:eastAsia="SimSun"/>
          <w:b/>
          <w:sz w:val="22"/>
        </w:rPr>
        <w:t>group-specific and generator-dependent</w:t>
      </w:r>
      <w:r>
        <w:rPr>
          <w:rFonts w:ascii="Times New Roman" w:hAnsi="Times New Roman" w:eastAsia="SimSun"/>
          <w:sz w:val="22"/>
        </w:rPr>
        <w:t>, which is why reporting a single averaged gap understated it. This free-form probe is the third instrument failure the paper documents.</w:t>
      </w:r>
    </w:p>
    <w:p>
      <w:r>
        <w:rPr>
          <w:rFonts w:ascii="Times New Roman" w:hAnsi="Times New Roman" w:eastAsia="SimSun"/>
          <w:sz w:val="22"/>
        </w:rPr>
        <w:t xml:space="preserve">The practical consequence is a </w:t>
      </w:r>
      <w:r>
        <w:rPr>
          <w:rFonts w:ascii="Times New Roman" w:hAnsi="Times New Roman" w:eastAsia="SimSun"/>
          <w:b/>
          <w:sz w:val="22"/>
        </w:rPr>
        <w:t>negative result about a class of defenses</w:t>
      </w:r>
      <w:r>
        <w:rPr>
          <w:rFonts w:ascii="Times New Roman" w:hAnsi="Times New Roman" w:eastAsia="SimSun"/>
          <w:sz w:val="22"/>
        </w:rPr>
        <w:t xml:space="preserve">, which we prove rather than only measure. A distribution-constrained defense faces a trilemma: it cannot simultaneously exclude adversarial passages, admit good clean selections, and impose a non-vacuous constraint. Empirically the R1 constraint is not weak but </w:t>
      </w:r>
      <w:r>
        <w:rPr>
          <w:rFonts w:ascii="Times New Roman" w:hAnsi="Times New Roman" w:eastAsia="SimSun"/>
          <w:b/>
          <w:sz w:val="22"/>
        </w:rPr>
        <w:t>inert</w:t>
      </w:r>
      <w:r>
        <w:rPr>
          <w:rFonts w:ascii="Times New Roman" w:hAnsi="Times New Roman" w:eastAsia="SimSun"/>
          <w:sz w:val="22"/>
        </w:rPr>
        <w:t xml:space="preserve"> — and the reason is a ceiling, not a sample-size problem. The unconstrained baseline already admits adversarial passages on every query where it can (1.000 for a dense retriever, 0.750 for BM25), so there is no headroom for a reduction to appear even in principle; the per-query difference is identically zero, giving an equivalence bound of exactly ±0.0000. This is not because the constraint fails to change the selection — it does change it, moving the R2 stance gap from 0.7436 to 0.5385 — but because different passages are selected and not one adversarial passage is displaced. We reach the same conclusion across six retrieval back-ends, two corpora, five injection rates and the full budget sweep, with $|\mathcal{G}| = 2$ throughout.</w:t>
      </w:r>
    </w:p>
    <w:p>
      <w:r>
        <w:rPr>
          <w:rFonts w:ascii="Times New Roman" w:hAnsi="Times New Roman" w:eastAsia="SimSun"/>
          <w:sz w:val="22"/>
        </w:rPr>
        <w:t xml:space="preserve">Two further measurement hazards follow from taking the encoder seriously as a factor rather than an implementation detail. Text-attack susceptibility is predicted by the </w:t>
      </w:r>
      <w:r>
        <w:rPr>
          <w:rFonts w:ascii="Times New Roman" w:hAnsi="Times New Roman" w:eastAsia="SimSun"/>
          <w:b/>
          <w:sz w:val="22"/>
        </w:rPr>
        <w:t>sparsity</w:t>
      </w:r>
      <w:r>
        <w:rPr>
          <w:rFonts w:ascii="Times New Roman" w:hAnsi="Times New Roman" w:eastAsia="SimSun"/>
          <w:sz w:val="22"/>
        </w:rPr>
        <w:t xml:space="preserve"> of the representation rather than by whether the encoder is learned (a learned sparse retriever is as susceptible as BM25, 0.625 versus 0.750), but sparsity is a correlate and not a law: enlarging GTE within one family and training recipe makes it </w:t>
      </w:r>
      <w:r>
        <w:rPr>
          <w:rFonts w:ascii="Times New Roman" w:hAnsi="Times New Roman" w:eastAsia="SimSun"/>
          <w:b/>
          <w:sz w:val="22"/>
        </w:rPr>
        <w:t>eight times more susceptible</w:t>
      </w:r>
      <w:r>
        <w:rPr>
          <w:rFonts w:ascii="Times New Roman" w:hAnsi="Times New Roman" w:eastAsia="SimSun"/>
          <w:sz w:val="22"/>
        </w:rPr>
        <w:t xml:space="preserve"> (0.0625 → 0.5000) while enlarging E5 makes it more resistant. Susceptibility is a per-checkpoint property that must be measured, so a single-encoder robustness claim reports an unmeasured encoder property.</w:t>
      </w:r>
    </w:p>
    <w:p>
      <w:r>
        <w:rPr>
          <w:rFonts w:ascii="Times New Roman" w:hAnsi="Times New Roman" w:eastAsia="SimSun"/>
          <w:sz w:val="22"/>
        </w:rPr>
        <w:t>We close with the measurement protocol the results imply: per-group shifts rather than cross-group differences, injection as a rate rather than a count, the encoder reported as a factor, and equivalence bounds for null claims.</w:t>
      </w:r>
    </w:p>
    <w:p>
      <w:r>
        <w:rPr>
          <w:rFonts w:ascii="Times New Roman" w:hAnsi="Times New Roman" w:eastAsia="SimSun"/>
          <w:b/>
          <w:sz w:val="22"/>
        </w:rPr>
        <w:t>Keywords</w:t>
      </w:r>
      <w:r>
        <w:rPr>
          <w:rFonts w:ascii="Times New Roman" w:hAnsi="Times New Roman" w:eastAsia="SimSun"/>
          <w:sz w:val="22"/>
        </w:rPr>
        <w:t>: retrieval-augmented generation, data poisoning, fairness measurement, within-group stance, adversarial robustness, evaluation validity</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deserving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b/>
          <w:sz w:val="22"/>
        </w:rPr>
        <w:t>This paper is about the measurement those defenses rest on, not about the defenses themselves.</w:t>
      </w:r>
      <w:r>
        <w:rPr>
          <w:rFonts w:ascii="Times New Roman" w:hAnsi="Times New Roman" w:eastAsia="SimSun"/>
          <w:sz w:val="22"/>
        </w:rPr>
        <w:t xml:space="preserve"> A fairness defense is selected, tuned and validated by a statistic, and it is only as good as that statistic's sensitivity to the threat. We show that the standard statistics are structurally insensitive to the attack that motivates them, that the insensitivity has a single identifiable cause, and that the same cause reappears at the generation layer — including in our own first attempt at measuring it. The defense failure that follows is then a </w:t>
      </w:r>
      <w:r>
        <w:rPr>
          <w:rFonts w:ascii="Times New Roman" w:hAnsi="Times New Roman" w:eastAsia="SimSun"/>
          <w:i/>
          <w:sz w:val="22"/>
        </w:rPr>
        <w:t>consequence</w:t>
      </w:r>
      <w:r>
        <w:rPr>
          <w:rFonts w:ascii="Times New Roman" w:hAnsi="Times New Roman" w:eastAsia="SimSun"/>
          <w:sz w:val="22"/>
        </w:rPr>
        <w:t xml:space="preserve"> we prove, not a separate claim.</w:t>
      </w:r>
    </w:p>
    <w:p>
      <w:r>
        <w:rPr>
          <w:rFonts w:ascii="Times New Roman" w:hAnsi="Times New Roman" w:eastAsia="SimSun"/>
          <w:b/>
          <w:sz w:val="22"/>
        </w:rPr>
        <w:t>The problem, stated as a measurement problem.</w:t>
      </w:r>
      <w:r>
        <w:rPr>
          <w:rFonts w:ascii="Times New Roman" w:hAnsi="Times New Roman" w:eastAsia="SimSun"/>
          <w:sz w:val="22"/>
        </w:rPr>
        <w:t xml:space="preserve"> "Group representation" is not one quantity but two, and the standard statistics measure the wrong one.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statistic that aggregates over group composition is blind to this. It reports the group distribution as clean, admits the injected passages, and returns success.</w:t>
      </w:r>
    </w:p>
    <w:p>
      <w:r>
        <w:rPr>
          <w:rFonts w:ascii="Times New Roman" w:hAnsi="Times New Roman" w:eastAsia="SimSun"/>
          <w:b/>
          <w:sz w:val="22"/>
        </w:rPr>
        <w:t>A second, subtler failure — one we fell into ourselves.</w:t>
      </w:r>
      <w:r>
        <w:rPr>
          <w:rFonts w:ascii="Times New Roman" w:hAnsi="Times New Roman" w:eastAsia="SimSun"/>
          <w:sz w:val="22"/>
        </w:rPr>
        <w:t xml:space="preserve"> The obvious repair is to move from composition to stance and to keep using the same arithmetic: measure the </w:t>
      </w:r>
      <w:r>
        <w:rPr>
          <w:rFonts w:ascii="Times New Roman" w:hAnsi="Times New Roman" w:eastAsia="SimSun"/>
          <w:i/>
          <w:sz w:val="22"/>
        </w:rPr>
        <w:t>gap</w:t>
      </w:r>
      <w:r>
        <w:rPr>
          <w:rFonts w:ascii="Times New Roman" w:hAnsi="Times New Roman" w:eastAsia="SimSun"/>
          <w:sz w:val="22"/>
        </w:rPr>
        <w:t xml:space="preserve"> between the two groups. That repair also fails, and the reason generalises. An absolute difference between two group-level quantities is dominated by whatever constant asymmetry the corpus already had, so it is insensitive to an attack that </w:t>
      </w:r>
      <w:r>
        <w:rPr>
          <w:rFonts w:ascii="Times New Roman" w:hAnsi="Times New Roman" w:eastAsia="SimSun"/>
          <w:b/>
          <w:sz w:val="22"/>
        </w:rPr>
        <w:t>relocates both groups together</w:t>
      </w:r>
      <w:r>
        <w:rPr>
          <w:rFonts w:ascii="Times New Roman" w:hAnsi="Times New Roman" w:eastAsia="SimSun"/>
          <w:sz w:val="22"/>
        </w:rPr>
        <w:t xml:space="preserve"> — which is what this attack does, suppressing one group while elevating the other. The diagnostic is the </w:t>
      </w:r>
      <w:r>
        <w:rPr>
          <w:rFonts w:ascii="Times New Roman" w:hAnsi="Times New Roman" w:eastAsia="SimSun"/>
          <w:i/>
          <w:sz w:val="22"/>
        </w:rPr>
        <w:t>per-group shift</w:t>
      </w:r>
      <w:r>
        <w:rPr>
          <w:rFonts w:ascii="Times New Roman" w:hAnsi="Times New Roman" w:eastAsia="SimSun"/>
          <w:sz w:val="22"/>
        </w:rPr>
        <w:t>. We identify this failure at the retrieval layer (§5.3), where two of three candidate R2 statistics are flat across the clean and fully attacked conditions, and then reproduce it at the generation layer in our own first measurement of propagation (§5.7): the absolute gap moved by less than 0.002 while the per-group shifts moved by 0.13 at $p \le 0.0035$, consistently across three generators. We report that second occurrence in full, because a measurement paper whose authors did not notice their own instance of the error would not be credible about anyone else's.</w:t>
      </w:r>
    </w:p>
    <w:p>
      <w:r>
        <w:rPr>
          <w:rFonts w:ascii="Times New Roman" w:hAnsi="Times New Roman" w:eastAsia="SimSun"/>
          <w:b/>
          <w:sz w:val="22"/>
        </w:rPr>
        <w:t>What we do.</w:t>
      </w:r>
      <w:r>
        <w:rPr>
          <w:rFonts w:ascii="Times New Roman" w:hAnsi="Times New Roman" w:eastAsia="SimSun"/>
          <w:sz w:val="22"/>
        </w:rPr>
        <w:t xml:space="preserve"> We formalise R1 and R2 and derive the sensitivity of each candidate statistic to the attack. We build a controlled evaluation in which group and stance labels are exact and the clean reference for both dimensions is known by construction, and we replicate on a naturally written bias benchmark. We re-implement the defense family these statistics motivate and evaluate it against the attack across six retrieval back-ends, before and after scaling each encoder. Our findings are:</w:t>
      </w:r>
    </w:p>
    <w:p>
      <w:pPr>
        <w:pStyle w:val="ListBullet"/>
        <w:spacing w:line="360" w:lineRule="auto"/>
      </w:pPr>
      <w:r>
        <w:rPr>
          <w:rFonts w:ascii="Times New Roman" w:hAnsi="Times New Roman" w:eastAsia="SimSun"/>
          <w:b/>
          <w:sz w:val="22"/>
        </w:rPr>
        <w:t>The standard statistics are blind, and the blindness is systematic rather than incidental.</w:t>
      </w:r>
      <w:r>
        <w:rPr>
          <w:rFonts w:ascii="Times New Roman" w:hAnsi="Times New Roman" w:eastAsia="SimSun"/>
          <w:sz w:val="22"/>
        </w:rPr>
        <w:t xml:space="preserve"> R1 drift stays at or below the level legitimate retrieval variance produces; two of three candidate R2 statistics are flat across the clean and fully attacked conditions. The reason is shared: each aggregates over a quantity the attack does not perturb, either group counts (which the injection balances by construction) or a topic-conditioned component (which it preserves).</w:t>
      </w:r>
    </w:p>
    <w:p>
      <w:pPr>
        <w:pStyle w:val="ListBullet"/>
        <w:spacing w:line="360" w:lineRule="auto"/>
      </w:pPr>
      <w:r>
        <w:rPr>
          <w:rFonts w:ascii="Times New Roman" w:hAnsi="Times New Roman" w:eastAsia="SimSun"/>
          <w:b/>
          <w:sz w:val="22"/>
        </w:rPr>
        <w:t>The right axis is the per-group shift, and the gap between groups is the wrong one — a distinction we had to be corrected by our own data to see.</w:t>
      </w:r>
      <w:r>
        <w:rPr>
          <w:rFonts w:ascii="Times New Roman" w:hAnsi="Times New Roman" w:eastAsia="SimSun"/>
          <w:sz w:val="22"/>
        </w:rPr>
        <w:t xml:space="preserve"> Absolute differences between groups are dominated by pre-existing corpus asymmetry and are blind to attacks that relocate both groups. Per-group shifts are large, consistent and highly significant, at both the retrieval and generation layers.</w:t>
      </w:r>
    </w:p>
    <w:p>
      <w:pPr>
        <w:pStyle w:val="ListBullet"/>
        <w:spacing w:line="360" w:lineRule="auto"/>
      </w:pPr>
      <w:r>
        <w:rPr>
          <w:rFonts w:ascii="Times New Roman" w:hAnsi="Times New Roman" w:eastAsia="SimSun"/>
          <w:b/>
          <w:sz w:val="22"/>
        </w:rPr>
        <w:t>The R1-only defense is not weak, it is inert — and the reason is a ceiling, which is a stronger statement than a failure to detect an effect.</w:t>
      </w:r>
      <w:r>
        <w:rPr>
          <w:rFonts w:ascii="Times New Roman" w:hAnsi="Times New Roman" w:eastAsia="SimSun"/>
          <w:sz w:val="22"/>
        </w:rPr>
        <w:t xml:space="preserve"> The unconstrained baseline already admits adversarial passages on every query where it can, so there is no headroom for a reduction to appear even in principle; the per-query difference is identically zero and the equivalence bound is exactly ±0.0000, excluding </w:t>
      </w:r>
      <w:r>
        <w:rPr>
          <w:rFonts w:ascii="Times New Roman" w:hAnsi="Times New Roman" w:eastAsia="SimSun"/>
          <w:i/>
          <w:sz w:val="22"/>
        </w:rPr>
        <w:t>any</w:t>
      </w:r>
      <w:r>
        <w:rPr>
          <w:rFonts w:ascii="Times New Roman" w:hAnsi="Times New Roman" w:eastAsia="SimSun"/>
          <w:sz w:val="22"/>
        </w:rPr>
        <w:t xml:space="preserve"> effect rather than an effect above a threshold. It is not that the constraint cannot change the selection — it does — but that changing the selection does not displace a single adversarial passage.</w:t>
      </w:r>
    </w:p>
    <w:p>
      <w:pPr>
        <w:pStyle w:val="ListBullet"/>
        <w:spacing w:line="360" w:lineRule="auto"/>
      </w:pPr>
      <w:r>
        <w:rPr>
          <w:rFonts w:ascii="Times New Roman" w:hAnsi="Times New Roman" w:eastAsia="SimSun"/>
          <w:b/>
          <w:sz w:val="22"/>
        </w:rPr>
        <w:t>The encoder must be reported as a factor, not as an implementation detail.</w:t>
      </w:r>
      <w:r>
        <w:rPr>
          <w:rFonts w:ascii="Times New Roman" w:hAnsi="Times New Roman" w:eastAsia="SimSun"/>
          <w:sz w:val="22"/>
        </w:rPr>
        <w:t xml:space="preserve"> Text-attack susceptibility is predicted by the sparsity of the representation rather than by whether the encoder is learned, but sparsity is a correlate and not a law: enlarging GTE within one family and training recipe makes it eight times more susceptible while enlarging E5 makes it more resistant. A single-encoder robustness claim therefore reports a property of a checkpoint that was never measured.</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b/>
          <w:sz w:val="22"/>
        </w:rPr>
        <w:t>A framework for why adversarial fairness statistics fail.</w:t>
      </w:r>
      <w:r>
        <w:rPr>
          <w:rFonts w:ascii="Times New Roman" w:hAnsi="Times New Roman" w:eastAsia="SimSun"/>
          <w:sz w:val="22"/>
        </w:rPr>
        <w:t xml:space="preserve"> Every candidate metric in this literature is a per-group quantity aggregated across groups, and an adversary can defeat the aggregation in exactly three ways: by balancing what the statistic counts (F1), by anchoring it to a reference the attack preserves (F2), or by moving all groups together so a difference between them cancels (F3). The modes are checkable in advance of building an attack, and we use them to predict which published metrics are blind (§3.4), then confirm the predictions empirically (§5.1, §5.2, §5.7).</w:t>
      </w:r>
    </w:p>
    <w:p>
      <w:pPr>
        <w:pStyle w:val="ListNumber"/>
        <w:spacing w:line="360" w:lineRule="auto"/>
      </w:pPr>
      <w:r>
        <w:rPr>
          <w:rFonts w:ascii="Times New Roman" w:hAnsi="Times New Roman" w:eastAsia="SimSun"/>
          <w:b/>
          <w:sz w:val="22"/>
        </w:rPr>
        <w:t>A positive control that separates blindness from breakage.</w:t>
      </w:r>
      <w:r>
        <w:rPr>
          <w:rFonts w:ascii="Times New Roman" w:hAnsi="Times New Roman" w:eastAsia="SimSun"/>
          <w:sz w:val="22"/>
        </w:rPr>
        <w:t xml:space="preserve"> With the ground truth moved by a known amount and the corpus size held fixed, the indicted statistics respond monotonically and directionally (Table 1). The claim is therefore specific — these statistics are immune to an adversary who balances what they count — rather than a general complaint that the instrument is unreliable.</w:t>
      </w:r>
    </w:p>
    <w:p>
      <w:pPr>
        <w:pStyle w:val="ListNumber"/>
        <w:spacing w:line="360" w:lineRule="auto"/>
      </w:pPr>
      <w:r>
        <w:rPr>
          <w:rFonts w:ascii="Times New Roman" w:hAnsi="Times New Roman" w:eastAsia="SimSun"/>
          <w:sz w:val="22"/>
        </w:rPr>
        <w:t xml:space="preserve">Identification of a </w:t>
      </w:r>
      <w:r>
        <w:rPr>
          <w:rFonts w:ascii="Times New Roman" w:hAnsi="Times New Roman" w:eastAsia="SimSun"/>
          <w:b/>
          <w:sz w:val="22"/>
        </w:rPr>
        <w:t>shared cause of measurement failure</w:t>
      </w:r>
      <w:r>
        <w:rPr>
          <w:rFonts w:ascii="Times New Roman" w:hAnsi="Times New Roman" w:eastAsia="SimSun"/>
          <w:sz w:val="22"/>
        </w:rPr>
        <w:t>: statistics that aggregate over group counts, or that take an absolute difference between groups, are insensitive to an attack that balances the former and relocates the latter — with the error demonstrated at two layers, including in our own first generation-layer measurement (§5.1, §5.3, §5.7).</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 replicated on a naturally written bias benchmark.</w:t>
      </w:r>
    </w:p>
    <w:p>
      <w:pPr>
        <w:pStyle w:val="ListNumber"/>
        <w:spacing w:line="360" w:lineRule="auto"/>
      </w:pPr>
      <w:r>
        <w:rPr>
          <w:rFonts w:ascii="Times New Roman" w:hAnsi="Times New Roman" w:eastAsia="SimSun"/>
          <w:sz w:val="22"/>
        </w:rPr>
        <w:t xml:space="preserve">An empirical demonstration that R1-constraining defenses are inert, with </w:t>
      </w:r>
      <w:r>
        <w:rPr>
          <w:rFonts w:ascii="Times New Roman" w:hAnsi="Times New Roman" w:eastAsia="SimSun"/>
          <w:b/>
          <w:sz w:val="22"/>
        </w:rPr>
        <w:t>equivalence bounds rather than point estimates</w:t>
      </w:r>
      <w:r>
        <w:rPr>
          <w:rFonts w:ascii="Times New Roman" w:hAnsi="Times New Roman" w:eastAsia="SimSun"/>
          <w:sz w:val="22"/>
        </w:rPr>
        <w:t xml:space="preserve"> for the null, across </w:t>
      </w:r>
      <w:r>
        <w:rPr>
          <w:rFonts w:ascii="Times New Roman" w:hAnsi="Times New Roman" w:eastAsia="SimSun"/>
          <w:b/>
          <w:sz w:val="22"/>
        </w:rPr>
        <w:t>six</w:t>
      </w:r>
      <w:r>
        <w:rPr>
          <w:rFonts w:ascii="Times New Roman" w:hAnsi="Times New Roman" w:eastAsia="SimSun"/>
          <w:sz w:val="22"/>
        </w:rPr>
        <w:t xml:space="preserve"> base retrieval back-ends, three scaled checkpoints, two corpora and five injection rates (§5, Appendix B).</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 xml:space="preserve">A scale check that bounds the sparsity account of encoder susceptibility: susceptibility is </w:t>
      </w:r>
      <w:r>
        <w:rPr>
          <w:rFonts w:ascii="Times New Roman" w:hAnsi="Times New Roman" w:eastAsia="SimSun"/>
          <w:b/>
          <w:sz w:val="22"/>
        </w:rPr>
        <w:t>not monotone in encoder size</w:t>
      </w:r>
      <w:r>
        <w:rPr>
          <w:rFonts w:ascii="Times New Roman" w:hAnsi="Times New Roman" w:eastAsia="SimSun"/>
          <w:sz w:val="22"/>
        </w:rPr>
        <w:t xml:space="preserve"> (GTE 0.0625 → 0.5000 while E5 0.0625 → 0.0000 within matched families), so it is a per-checkpoint property (§5.6).</w:t>
      </w:r>
    </w:p>
    <w:p>
      <w:pPr>
        <w:pStyle w:val="ListNumber"/>
        <w:spacing w:line="360" w:lineRule="auto"/>
      </w:pPr>
      <w:r>
        <w:rPr>
          <w:rFonts w:ascii="Times New Roman" w:hAnsi="Times New Roman" w:eastAsia="SimSun"/>
          <w:sz w:val="22"/>
        </w:rPr>
        <w:t>A measurement protocol implied by the above: per-group shifts rather than cross-group differences, injection reported as a rate rather than a count, the encoder reported as a factor, equivalence bounds for null claims, and both stance and attribution scored by entailment in the correct direction rather than by a prompted judge (§8, §5.7.1).</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hd w:val="clear" w:color="auto" w:fill="DCE6F1"/>
        <w:spacing w:before="200" w:after="80"/>
      </w:pPr>
      <w:r>
        <w:rPr>
          <w:rFonts w:ascii="Times New Roman" w:hAnsi="Times New Roman" w:eastAsia="Microsoft YaHei"/>
          <w:b/>
          <w:sz w:val="26"/>
        </w:rPr>
        <w:t>3.4 One form for every candidate metric, and three ways it loses the signal</w:t>
      </w:r>
    </w:p>
    <w:p>
      <w:r>
        <w:rPr>
          <w:rFonts w:ascii="Times New Roman" w:hAnsi="Times New Roman" w:eastAsia="SimSun"/>
          <w:sz w:val="22"/>
        </w:rPr>
        <w:t>Every fairness statistic in this literature, including the ones we introduce, has the same shape: a per-group quantity aggregated across groups.</w:t>
      </w:r>
    </w:p>
    <w:p>
      <w:r>
        <w:rPr>
          <w:rFonts w:ascii="Times New Roman" w:hAnsi="Times New Roman" w:eastAsia="SimSun"/>
          <w:sz w:val="22"/>
        </w:rPr>
        <w:t>$$M(\mathcal{D}) \;=\; A_{g \in \mathcal{G}}\bigl[\,\phi_g(\mathcal{D})\,\bigr] \tag{2}$$</w:t>
      </w:r>
    </w:p>
    <w:p>
      <w:r>
        <w:rPr>
          <w:rFonts w:ascii="Times New Roman" w:hAnsi="Times New Roman" w:eastAsia="SimSun"/>
          <w:sz w:val="22"/>
        </w:rPr>
        <w:t>where $\phi_g(\mathcal{D})$ is some per-group measurement — the share of group-relevant passages belonging to $g$, the proportion of those passages that are favourable, the exposure of $g$'s items — and $A$ is an aggregation over groups (a count, a deviation from a reference, a difference, a variance). R1 statistics take $\phi_g$ to be a composition and $A$ to be a deviation or a count; R2 statistics take $\phi_g$ to be a stance proportion and $A$ to be a deviation, a difference or an extremeness.</w:t>
      </w:r>
    </w:p>
    <w:p>
      <w:r>
        <w:rPr>
          <w:rFonts w:ascii="Times New Roman" w:hAnsi="Times New Roman" w:eastAsia="SimSun"/>
          <w:sz w:val="22"/>
        </w:rPr>
        <w:t>This form is useful because it exposes exactly where an adversary can act. An attack on a fairness metric has two available moves and only two: leave the aggregate $A$ where it is while moving $\phi_g$, or move $A$ in a direction the defender reads as harmless. Every attack we study does the first. The consequence is a taxonomy of three failure modes, and they are the reason the experiments in §5 come out as they do.</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Failure mode</w:t>
            </w:r>
          </w:p>
        </w:tc>
        <w:tc>
          <w:tcPr>
            <w:tcW w:type="dxa" w:w="2409"/>
            <w:shd w:val="clear" w:color="auto" w:fill="DCE6F1"/>
          </w:tcPr>
          <w:p>
            <w:pPr>
              <w:spacing w:line="240" w:lineRule="auto" w:after="0"/>
            </w:pPr>
            <w:r>
              <w:rPr>
                <w:rFonts w:ascii="Times New Roman" w:hAnsi="Times New Roman" w:eastAsia="SimSun"/>
                <w:b/>
                <w:sz w:val="19"/>
              </w:rPr>
              <w:t>Mechanism</w:t>
            </w:r>
          </w:p>
        </w:tc>
        <w:tc>
          <w:tcPr>
            <w:tcW w:type="dxa" w:w="2409"/>
            <w:shd w:val="clear" w:color="auto" w:fill="DCE6F1"/>
          </w:tcPr>
          <w:p>
            <w:pPr>
              <w:spacing w:line="240" w:lineRule="auto" w:after="0"/>
            </w:pPr>
            <w:r>
              <w:rPr>
                <w:rFonts w:ascii="Times New Roman" w:hAnsi="Times New Roman" w:eastAsia="SimSun"/>
                <w:b/>
                <w:sz w:val="19"/>
              </w:rPr>
              <w:t>Which $A$ is exposed</w:t>
            </w:r>
          </w:p>
        </w:tc>
        <w:tc>
          <w:tcPr>
            <w:tcW w:type="dxa" w:w="2409"/>
            <w:shd w:val="clear" w:color="auto" w:fill="DCE6F1"/>
          </w:tcPr>
          <w:p>
            <w:pPr>
              <w:spacing w:line="240" w:lineRule="auto" w:after="0"/>
            </w:pPr>
            <w:r>
              <w:rPr>
                <w:rFonts w:ascii="Times New Roman" w:hAnsi="Times New Roman" w:eastAsia="SimSun"/>
                <w:b/>
                <w:sz w:val="19"/>
              </w:rPr>
              <w:t>Where we observe it</w:t>
            </w:r>
          </w:p>
        </w:tc>
      </w:tr>
      <w:tr>
        <w:tc>
          <w:tcPr>
            <w:tcW w:type="dxa" w:w="2409"/>
          </w:tcPr>
          <w:p>
            <w:pPr>
              <w:spacing w:line="240" w:lineRule="auto" w:after="0"/>
            </w:pPr>
            <w:r>
              <w:rPr>
                <w:rFonts w:ascii="Times New Roman" w:hAnsi="Times New Roman" w:eastAsia="SimSun"/>
                <w:b/>
                <w:sz w:val="19"/>
              </w:rPr>
              <w:t>F1 — balanced count</w:t>
            </w:r>
          </w:p>
        </w:tc>
        <w:tc>
          <w:tcPr>
            <w:tcW w:type="dxa" w:w="2409"/>
          </w:tcPr>
          <w:p>
            <w:pPr>
              <w:spacing w:line="240" w:lineRule="auto" w:after="0"/>
            </w:pPr>
            <w:r>
              <w:rPr>
                <w:rFonts w:ascii="Times New Roman" w:hAnsi="Times New Roman" w:eastAsia="SimSun"/>
                <w:sz w:val="19"/>
              </w:rPr>
              <w:t>The injection contributes equally to every group, so any aggregate over group counts returns its clean value</w:t>
            </w:r>
          </w:p>
        </w:tc>
        <w:tc>
          <w:tcPr>
            <w:tcW w:type="dxa" w:w="2409"/>
          </w:tcPr>
          <w:p>
            <w:pPr>
              <w:spacing w:line="240" w:lineRule="auto" w:after="0"/>
            </w:pPr>
            <w:r>
              <w:rPr>
                <w:rFonts w:ascii="Times New Roman" w:hAnsi="Times New Roman" w:eastAsia="SimSun"/>
                <w:sz w:val="19"/>
              </w:rPr>
              <w:t>any count or share across groups</w:t>
            </w:r>
          </w:p>
        </w:tc>
        <w:tc>
          <w:tcPr>
            <w:tcW w:type="dxa" w:w="2409"/>
          </w:tcPr>
          <w:p>
            <w:pPr>
              <w:spacing w:line="240" w:lineRule="auto" w:after="0"/>
            </w:pPr>
            <w:r>
              <w:rPr>
                <w:rFonts w:ascii="Times New Roman" w:hAnsi="Times New Roman" w:eastAsia="SimSun"/>
                <w:sz w:val="19"/>
              </w:rPr>
              <w:t>§5.1, §5.2 (R1 statistics)</w:t>
            </w:r>
          </w:p>
        </w:tc>
      </w:tr>
      <w:tr>
        <w:tc>
          <w:tcPr>
            <w:tcW w:type="dxa" w:w="2409"/>
          </w:tcPr>
          <w:p>
            <w:pPr>
              <w:spacing w:line="240" w:lineRule="auto" w:after="0"/>
            </w:pPr>
            <w:r>
              <w:rPr>
                <w:rFonts w:ascii="Times New Roman" w:hAnsi="Times New Roman" w:eastAsia="SimSun"/>
                <w:b/>
                <w:sz w:val="19"/>
              </w:rPr>
              <w:t>F2 — preserved nuisance</w:t>
            </w:r>
          </w:p>
        </w:tc>
        <w:tc>
          <w:tcPr>
            <w:tcW w:type="dxa" w:w="2409"/>
          </w:tcPr>
          <w:p>
            <w:pPr>
              <w:spacing w:line="240" w:lineRule="auto" w:after="0"/>
            </w:pPr>
            <w:r>
              <w:rPr>
                <w:rFonts w:ascii="Times New Roman" w:hAnsi="Times New Roman" w:eastAsia="SimSun"/>
                <w:sz w:val="19"/>
              </w:rPr>
              <w:t>A statistic is anchored to a reference the attack does not change, so it reports the component that varies with the query rather than the one that varies with the attack</w:t>
            </w:r>
          </w:p>
        </w:tc>
        <w:tc>
          <w:tcPr>
            <w:tcW w:type="dxa" w:w="2409"/>
          </w:tcPr>
          <w:p>
            <w:pPr>
              <w:spacing w:line="240" w:lineRule="auto" w:after="0"/>
            </w:pPr>
            <w:r>
              <w:rPr>
                <w:rFonts w:ascii="Times New Roman" w:hAnsi="Times New Roman" w:eastAsia="SimSun"/>
                <w:sz w:val="19"/>
              </w:rPr>
              <w:t>any deviation from a reference</w:t>
            </w:r>
          </w:p>
        </w:tc>
        <w:tc>
          <w:tcPr>
            <w:tcW w:type="dxa" w:w="2409"/>
          </w:tcPr>
          <w:p>
            <w:pPr>
              <w:spacing w:line="240" w:lineRule="auto" w:after="0"/>
            </w:pPr>
            <w:r>
              <w:rPr>
                <w:rFonts w:ascii="Times New Roman" w:hAnsi="Times New Roman" w:eastAsia="SimSun"/>
                <w:sz w:val="19"/>
              </w:rPr>
              <w:t>§3.2, §5.1 (</w:t>
            </w:r>
            <w:r>
              <w:rPr>
                <w:rFonts w:ascii="Consolas" w:hAnsi="Consolas" w:eastAsia="Consolas"/>
                <w:sz w:val="18"/>
              </w:rPr>
              <w:t>stance_div</w:t>
            </w:r>
            <w:r>
              <w:rPr>
                <w:rFonts w:ascii="Times New Roman" w:hAnsi="Times New Roman" w:eastAsia="SimSun"/>
                <w:sz w:val="19"/>
              </w:rPr>
              <w:t xml:space="preserve">, </w:t>
            </w:r>
            <w:r>
              <w:rPr>
                <w:rFonts w:ascii="Consolas" w:hAnsi="Consolas" w:eastAsia="Consolas"/>
                <w:sz w:val="18"/>
              </w:rPr>
              <w:t>stance_onesided</w:t>
            </w:r>
            <w:r>
              <w:rPr>
                <w:rFonts w:ascii="Times New Roman" w:hAnsi="Times New Roman" w:eastAsia="SimSun"/>
                <w:sz w:val="19"/>
              </w:rPr>
              <w:t>)</w:t>
            </w:r>
          </w:p>
        </w:tc>
      </w:tr>
      <w:tr>
        <w:tc>
          <w:tcPr>
            <w:tcW w:type="dxa" w:w="2409"/>
          </w:tcPr>
          <w:p>
            <w:pPr>
              <w:spacing w:line="240" w:lineRule="auto" w:after="0"/>
            </w:pPr>
            <w:r>
              <w:rPr>
                <w:rFonts w:ascii="Times New Roman" w:hAnsi="Times New Roman" w:eastAsia="SimSun"/>
                <w:b/>
                <w:sz w:val="19"/>
              </w:rPr>
              <w:t>F3 — cancelled shift</w:t>
            </w:r>
          </w:p>
        </w:tc>
        <w:tc>
          <w:tcPr>
            <w:tcW w:type="dxa" w:w="2409"/>
          </w:tcPr>
          <w:p>
            <w:pPr>
              <w:spacing w:line="240" w:lineRule="auto" w:after="0"/>
            </w:pPr>
            <w:r>
              <w:rPr>
                <w:rFonts w:ascii="Times New Roman" w:hAnsi="Times New Roman" w:eastAsia="SimSun"/>
                <w:sz w:val="19"/>
              </w:rPr>
              <w:t>The attack relocates all groups in the same direction, so a difference between groups is unchanged even though every $\phi_g$ moved a long way</w:t>
            </w:r>
          </w:p>
        </w:tc>
        <w:tc>
          <w:tcPr>
            <w:tcW w:type="dxa" w:w="2409"/>
          </w:tcPr>
          <w:p>
            <w:pPr>
              <w:spacing w:line="240" w:lineRule="auto" w:after="0"/>
            </w:pPr>
            <w:r>
              <w:rPr>
                <w:rFonts w:ascii="Times New Roman" w:hAnsi="Times New Roman" w:eastAsia="SimSun"/>
                <w:sz w:val="19"/>
              </w:rPr>
              <w:t>any difference, variance or gap across groups</w:t>
            </w:r>
          </w:p>
        </w:tc>
        <w:tc>
          <w:tcPr>
            <w:tcW w:type="dxa" w:w="2409"/>
          </w:tcPr>
          <w:p>
            <w:pPr>
              <w:spacing w:line="240" w:lineRule="auto" w:after="0"/>
            </w:pPr>
            <w:r>
              <w:rPr>
                <w:rFonts w:ascii="Times New Roman" w:hAnsi="Times New Roman" w:eastAsia="SimSun"/>
                <w:sz w:val="19"/>
              </w:rPr>
              <w:t>§5.1, §5.7 (</w:t>
            </w:r>
            <w:r>
              <w:rPr>
                <w:rFonts w:ascii="Consolas" w:hAnsi="Consolas" w:eastAsia="Consolas"/>
                <w:sz w:val="18"/>
              </w:rPr>
              <w:t>stance_gap</w:t>
            </w:r>
            <w:r>
              <w:rPr>
                <w:rFonts w:ascii="Times New Roman" w:hAnsi="Times New Roman" w:eastAsia="SimSun"/>
                <w:sz w:val="19"/>
              </w:rPr>
              <w:t xml:space="preserve"> and its generation-layer twin)</w:t>
            </w:r>
          </w:p>
        </w:tc>
      </w:tr>
    </w:tbl>
    <w:p/>
    <w:p>
      <w:r>
        <w:rPr>
          <w:rFonts w:ascii="Times New Roman" w:hAnsi="Times New Roman" w:eastAsia="SimSun"/>
          <w:b/>
          <w:sz w:val="22"/>
        </w:rPr>
        <w:t>The taxonomy is a test, not a description.</w:t>
      </w:r>
      <w:r>
        <w:rPr>
          <w:rFonts w:ascii="Times New Roman" w:hAnsi="Times New Roman" w:eastAsia="SimSun"/>
          <w:sz w:val="22"/>
        </w:rPr>
        <w:t xml:space="preserve"> For a candidate statistic $M$, the three failure modes correspond to three questions that can be asked before any attack is built:</w:t>
      </w:r>
    </w:p>
    <w:p>
      <w:pPr>
        <w:pStyle w:val="ListNumber"/>
        <w:spacing w:line="360" w:lineRule="auto"/>
      </w:pPr>
      <w:r>
        <w:rPr>
          <w:rFonts w:ascii="Times New Roman" w:hAnsi="Times New Roman" w:eastAsia="SimSun"/>
          <w:i/>
          <w:sz w:val="22"/>
        </w:rPr>
        <w:t>Does the injection balance the quantity $M$ counts?</w:t>
      </w:r>
      <w:r>
        <w:rPr>
          <w:rFonts w:ascii="Times New Roman" w:hAnsi="Times New Roman" w:eastAsia="SimSun"/>
          <w:sz w:val="22"/>
        </w:rPr>
        <w:t xml:space="preserve"> If the attacker's construction is symmetric across groups — and pairwise poisoning is, because it reuses the legitimate template inventory in matched pairs — then any counting aggregate is invariant by construction and no amount of data will show the attack.</w:t>
      </w:r>
    </w:p>
    <w:p>
      <w:pPr>
        <w:pStyle w:val="ListNumber"/>
        <w:spacing w:line="360" w:lineRule="auto"/>
      </w:pPr>
      <w:r>
        <w:rPr>
          <w:rFonts w:ascii="Times New Roman" w:hAnsi="Times New Roman" w:eastAsia="SimSun"/>
          <w:i/>
          <w:sz w:val="22"/>
        </w:rPr>
        <w:t>Is $M$ referenced to something the attack preserves?</w:t>
      </w:r>
      <w:r>
        <w:rPr>
          <w:rFonts w:ascii="Times New Roman" w:hAnsi="Times New Roman" w:eastAsia="SimSun"/>
          <w:sz w:val="22"/>
        </w:rPr>
        <w:t xml:space="preserve"> If the reference is a per-query clean retrieval or a corpus-level rate, the attack leaves it intact by design, and $M$ measures the query's topic rather than the attacker's skew.</w:t>
      </w:r>
    </w:p>
    <w:p>
      <w:pPr>
        <w:pStyle w:val="ListNumber"/>
        <w:spacing w:line="360" w:lineRule="auto"/>
      </w:pPr>
      <w:r>
        <w:rPr>
          <w:rFonts w:ascii="Times New Roman" w:hAnsi="Times New Roman" w:eastAsia="SimSun"/>
          <w:i/>
          <w:sz w:val="22"/>
        </w:rPr>
        <w:t>Is $M$ an aggregate that cancels a common-mode movement?</w:t>
      </w:r>
      <w:r>
        <w:rPr>
          <w:rFonts w:ascii="Times New Roman" w:hAnsi="Times New Roman" w:eastAsia="SimSun"/>
          <w:sz w:val="22"/>
        </w:rPr>
        <w:t xml:space="preserve"> A difference or variance across groups is invariant under $g \mapsto g + c$ for every group at once. An attack that moves all groups together is therefore invisible to it, no matter how large the movement.</w:t>
      </w:r>
    </w:p>
    <w:p>
      <w:r>
        <w:rPr>
          <w:rFonts w:ascii="Times New Roman" w:hAnsi="Times New Roman" w:eastAsia="SimSun"/>
          <w:sz w:val="22"/>
        </w:rPr>
        <w:t xml:space="preserve">A statistic that survives all three is, in our setting, one that reports </w:t>
      </w:r>
      <w:r>
        <w:rPr>
          <w:rFonts w:ascii="Times New Roman" w:hAnsi="Times New Roman" w:eastAsia="SimSun"/>
          <w:b/>
          <w:sz w:val="22"/>
        </w:rPr>
        <w:t>per-group levels</w:t>
      </w:r>
      <w:r>
        <w:rPr>
          <w:rFonts w:ascii="Times New Roman" w:hAnsi="Times New Roman" w:eastAsia="SimSun"/>
          <w:sz w:val="22"/>
        </w:rPr>
        <w:t xml:space="preserve"> rather than a difference between them, because that is the only form that is not invariant under at least one of the three moves. §5.1 and §5.7 test this prediction: on the same retrieval conditions where a difference statistics reports a change of 0.002, the per-group levels move by 0.13 and the paired test rejects at $p &lt; 0.01$. The prediction was made from the form of the statistic, not fitted to those numbers, and §8 records that we violated it ourselves in an earlier version of the generation-layer analysis.</w:t>
      </w:r>
    </w:p>
    <w:p>
      <w:r>
        <w:rPr>
          <w:rFonts w:ascii="Times New Roman" w:hAnsi="Times New Roman" w:eastAsia="SimSun"/>
          <w:b/>
          <w:sz w:val="22"/>
        </w:rPr>
        <w:t>The taxonomy is testable against known ground truth, and we ran that test.</w:t>
      </w:r>
      <w:r>
        <w:rPr>
          <w:rFonts w:ascii="Times New Roman" w:hAnsi="Times New Roman" w:eastAsia="SimSun"/>
          <w:sz w:val="22"/>
        </w:rPr>
        <w:t xml:space="preserve"> A taxonomy of failure modes is only worth stating if the statistics it indicts are otherwise sound: if they did not respond to a real composition change either, the finding would be that the measurement apparatus is broken, not that an adversary defeats it. We therefore ran a positive control on the naturally written corpus, where the true composition is known by construction.</w:t>
      </w:r>
    </w:p>
    <w:p>
      <w:r>
        <w:rPr>
          <w:rFonts w:ascii="Times New Roman" w:hAnsi="Times New Roman" w:eastAsia="SimSun"/>
          <w:sz w:val="22"/>
        </w:rPr>
        <w:t xml:space="preserve">The control holds the corpus size fixed at 17,792 passages and </w:t>
      </w:r>
      <w:r>
        <w:rPr>
          <w:rFonts w:ascii="Times New Roman" w:hAnsi="Times New Roman" w:eastAsia="SimSun"/>
          <w:b/>
          <w:sz w:val="22"/>
        </w:rPr>
        <w:t>swaps</w:t>
      </w:r>
      <w:r>
        <w:rPr>
          <w:rFonts w:ascii="Times New Roman" w:hAnsi="Times New Roman" w:eastAsia="SimSun"/>
          <w:sz w:val="22"/>
        </w:rPr>
        <w:t xml:space="preserve"> passages between the two groups of a balanced stratum, so the retrieval pool and the score threshold do not move and composition is the only variable. It changes by a known number of passages, in a known direction, and is reversed in the last row.</w:t>
      </w:r>
    </w:p>
    <w:p>
      <w:r>
        <w:rPr>
          <w:rFonts w:ascii="Times New Roman" w:hAnsi="Times New Roman" w:eastAsia="SimSun"/>
          <w:b/>
          <w:sz w:val="22"/>
        </w:rPr>
        <w:t>Table 1.</w:t>
      </w:r>
      <w:r>
        <w:rPr>
          <w:rFonts w:ascii="Times New Roman" w:hAnsi="Times New Roman" w:eastAsia="SimSun"/>
          <w:sz w:val="22"/>
        </w:rPr>
        <w:t xml:space="preserve"> Responsiveness control. Corpus size constant; only group composition changes. </w:t>
      </w:r>
      <w:r>
        <w:rPr>
          <w:rFonts w:ascii="Consolas" w:hAnsi="Consolas" w:eastAsia="Consolas"/>
          <w:sz w:val="21"/>
        </w:rPr>
        <w:t>corpus%woman</w:t>
      </w:r>
      <w:r>
        <w:rPr>
          <w:rFonts w:ascii="Times New Roman" w:hAnsi="Times New Roman" w:eastAsia="SimSun"/>
          <w:sz w:val="22"/>
        </w:rPr>
        <w:t xml:space="preserve"> is the true share after the swap; the remaining columns are the statistics under test.</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Variant</w:t>
            </w:r>
          </w:p>
        </w:tc>
        <w:tc>
          <w:tcPr>
            <w:tcW w:type="dxa" w:w="1606"/>
            <w:shd w:val="clear" w:color="auto" w:fill="DCE6F1"/>
          </w:tcPr>
          <w:p>
            <w:pPr>
              <w:spacing w:line="240" w:lineRule="auto" w:after="0"/>
            </w:pPr>
            <w:r>
              <w:rPr>
                <w:rFonts w:ascii="Consolas" w:hAnsi="Consolas" w:eastAsia="Consolas"/>
                <w:b/>
                <w:sz w:val="18"/>
              </w:rPr>
              <w:t>corpus%woman</w:t>
            </w:r>
          </w:p>
        </w:tc>
        <w:tc>
          <w:tcPr>
            <w:tcW w:type="dxa" w:w="1606"/>
            <w:shd w:val="clear" w:color="auto" w:fill="DCE6F1"/>
          </w:tcPr>
          <w:p>
            <w:pPr>
              <w:spacing w:line="240" w:lineRule="auto" w:after="0"/>
            </w:pPr>
            <w:r>
              <w:rPr>
                <w:rFonts w:ascii="Consolas" w:hAnsi="Consolas" w:eastAsia="Consolas"/>
                <w:b/>
                <w:sz w:val="18"/>
              </w:rPr>
              <w:t>drift_tv</w:t>
            </w:r>
          </w:p>
        </w:tc>
        <w:tc>
          <w:tcPr>
            <w:tcW w:type="dxa" w:w="1606"/>
            <w:shd w:val="clear" w:color="auto" w:fill="DCE6F1"/>
          </w:tcPr>
          <w:p>
            <w:pPr>
              <w:spacing w:line="240" w:lineRule="auto" w:after="0"/>
            </w:pPr>
            <w:r>
              <w:rPr>
                <w:rFonts w:ascii="Consolas" w:hAnsi="Consolas" w:eastAsia="Consolas"/>
                <w:b/>
                <w:sz w:val="18"/>
              </w:rPr>
              <w:t>drift_js</w:t>
            </w:r>
          </w:p>
        </w:tc>
        <w:tc>
          <w:tcPr>
            <w:tcW w:type="dxa" w:w="1606"/>
            <w:shd w:val="clear" w:color="auto" w:fill="DCE6F1"/>
          </w:tcPr>
          <w:p>
            <w:pPr>
              <w:spacing w:line="240" w:lineRule="auto" w:after="0"/>
            </w:pPr>
            <w:r>
              <w:rPr>
                <w:rFonts w:ascii="Consolas" w:hAnsi="Consolas" w:eastAsia="Consolas"/>
                <w:b/>
                <w:sz w:val="18"/>
              </w:rPr>
              <w:t>stance_div</w:t>
            </w:r>
          </w:p>
        </w:tc>
        <w:tc>
          <w:tcPr>
            <w:tcW w:type="dxa" w:w="1606"/>
            <w:shd w:val="clear" w:color="auto" w:fill="DCE6F1"/>
          </w:tcPr>
          <w:p>
            <w:pPr>
              <w:spacing w:line="240" w:lineRule="auto" w:after="0"/>
            </w:pPr>
            <w:r>
              <w:rPr>
                <w:rFonts w:ascii="Consolas" w:hAnsi="Consolas" w:eastAsia="Consolas"/>
                <w:b/>
                <w:sz w:val="18"/>
              </w:rPr>
              <w:t>stance_onesided</w:t>
            </w:r>
          </w:p>
        </w:tc>
      </w:tr>
      <w:tr>
        <w:tc>
          <w:tcPr>
            <w:tcW w:type="dxa" w:w="1606"/>
          </w:tcPr>
          <w:p>
            <w:pPr>
              <w:spacing w:line="240" w:lineRule="auto" w:after="0"/>
            </w:pPr>
            <w:r>
              <w:rPr>
                <w:rFonts w:ascii="Times New Roman" w:hAnsi="Times New Roman" w:eastAsia="SimSun"/>
                <w:sz w:val="19"/>
              </w:rPr>
              <w:t>baseline (balanced)</w:t>
            </w:r>
          </w:p>
        </w:tc>
        <w:tc>
          <w:tcPr>
            <w:tcW w:type="dxa" w:w="1606"/>
          </w:tcPr>
          <w:p>
            <w:pPr>
              <w:spacing w:line="240" w:lineRule="auto" w:after="0"/>
            </w:pPr>
            <w:r>
              <w:rPr>
                <w:rFonts w:ascii="Times New Roman" w:hAnsi="Times New Roman" w:eastAsia="SimSun"/>
                <w:sz w:val="19"/>
              </w:rPr>
              <w:t>0.500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0.2925</w:t>
            </w:r>
          </w:p>
        </w:tc>
        <w:tc>
          <w:tcPr>
            <w:tcW w:type="dxa" w:w="1606"/>
          </w:tcPr>
          <w:p>
            <w:pPr>
              <w:spacing w:line="240" w:lineRule="auto" w:after="0"/>
            </w:pPr>
            <w:r>
              <w:rPr>
                <w:rFonts w:ascii="Times New Roman" w:hAnsi="Times New Roman" w:eastAsia="SimSun"/>
                <w:sz w:val="19"/>
              </w:rPr>
              <w:t>0.4753</w:t>
            </w:r>
          </w:p>
        </w:tc>
      </w:tr>
      <w:tr>
        <w:tc>
          <w:tcPr>
            <w:tcW w:type="dxa" w:w="1606"/>
          </w:tcPr>
          <w:p>
            <w:pPr>
              <w:spacing w:line="240" w:lineRule="auto" w:after="0"/>
            </w:pPr>
            <w:r>
              <w:rPr>
                <w:rFonts w:ascii="Times New Roman" w:hAnsi="Times New Roman" w:eastAsia="SimSun"/>
                <w:sz w:val="19"/>
              </w:rPr>
              <w:t>swap 500 man→woman</w:t>
            </w:r>
          </w:p>
        </w:tc>
        <w:tc>
          <w:tcPr>
            <w:tcW w:type="dxa" w:w="1606"/>
          </w:tcPr>
          <w:p>
            <w:pPr>
              <w:spacing w:line="240" w:lineRule="auto" w:after="0"/>
            </w:pPr>
            <w:r>
              <w:rPr>
                <w:rFonts w:ascii="Times New Roman" w:hAnsi="Times New Roman" w:eastAsia="SimSun"/>
                <w:sz w:val="19"/>
              </w:rPr>
              <w:t>0.580</w:t>
            </w:r>
          </w:p>
        </w:tc>
        <w:tc>
          <w:tcPr>
            <w:tcW w:type="dxa" w:w="1606"/>
          </w:tcPr>
          <w:p>
            <w:pPr>
              <w:spacing w:line="240" w:lineRule="auto" w:after="0"/>
            </w:pPr>
            <w:r>
              <w:rPr>
                <w:rFonts w:ascii="Times New Roman" w:hAnsi="Times New Roman" w:eastAsia="SimSun"/>
                <w:sz w:val="19"/>
              </w:rPr>
              <w:t>0.0264</w:t>
            </w:r>
          </w:p>
        </w:tc>
        <w:tc>
          <w:tcPr>
            <w:tcW w:type="dxa" w:w="1606"/>
          </w:tcPr>
          <w:p>
            <w:pPr>
              <w:spacing w:line="240" w:lineRule="auto" w:after="0"/>
            </w:pPr>
            <w:r>
              <w:rPr>
                <w:rFonts w:ascii="Times New Roman" w:hAnsi="Times New Roman" w:eastAsia="SimSun"/>
                <w:sz w:val="19"/>
              </w:rPr>
              <w:t>0.0372</w:t>
            </w:r>
          </w:p>
        </w:tc>
        <w:tc>
          <w:tcPr>
            <w:tcW w:type="dxa" w:w="1606"/>
          </w:tcPr>
          <w:p>
            <w:pPr>
              <w:spacing w:line="240" w:lineRule="auto" w:after="0"/>
            </w:pPr>
            <w:r>
              <w:rPr>
                <w:rFonts w:ascii="Times New Roman" w:hAnsi="Times New Roman" w:eastAsia="SimSun"/>
                <w:sz w:val="19"/>
              </w:rPr>
              <w:t>0.2876</w:t>
            </w:r>
          </w:p>
        </w:tc>
        <w:tc>
          <w:tcPr>
            <w:tcW w:type="dxa" w:w="1606"/>
          </w:tcPr>
          <w:p>
            <w:pPr>
              <w:spacing w:line="240" w:lineRule="auto" w:after="0"/>
            </w:pPr>
            <w:r>
              <w:rPr>
                <w:rFonts w:ascii="Times New Roman" w:hAnsi="Times New Roman" w:eastAsia="SimSun"/>
                <w:sz w:val="19"/>
              </w:rPr>
              <w:t>0.4711</w:t>
            </w:r>
          </w:p>
        </w:tc>
      </w:tr>
      <w:tr>
        <w:tc>
          <w:tcPr>
            <w:tcW w:type="dxa" w:w="1606"/>
          </w:tcPr>
          <w:p>
            <w:pPr>
              <w:spacing w:line="240" w:lineRule="auto" w:after="0"/>
            </w:pPr>
            <w:r>
              <w:rPr>
                <w:rFonts w:ascii="Times New Roman" w:hAnsi="Times New Roman" w:eastAsia="SimSun"/>
                <w:sz w:val="19"/>
              </w:rPr>
              <w:t>swap 1500 man→woman</w:t>
            </w:r>
          </w:p>
        </w:tc>
        <w:tc>
          <w:tcPr>
            <w:tcW w:type="dxa" w:w="1606"/>
          </w:tcPr>
          <w:p>
            <w:pPr>
              <w:spacing w:line="240" w:lineRule="auto" w:after="0"/>
            </w:pPr>
            <w:r>
              <w:rPr>
                <w:rFonts w:ascii="Times New Roman" w:hAnsi="Times New Roman" w:eastAsia="SimSun"/>
                <w:sz w:val="19"/>
              </w:rPr>
              <w:t>0.739</w:t>
            </w:r>
          </w:p>
        </w:tc>
        <w:tc>
          <w:tcPr>
            <w:tcW w:type="dxa" w:w="1606"/>
          </w:tcPr>
          <w:p>
            <w:pPr>
              <w:spacing w:line="240" w:lineRule="auto" w:after="0"/>
            </w:pPr>
            <w:r>
              <w:rPr>
                <w:rFonts w:ascii="Times New Roman" w:hAnsi="Times New Roman" w:eastAsia="SimSun"/>
                <w:sz w:val="19"/>
              </w:rPr>
              <w:t>0.0660</w:t>
            </w:r>
          </w:p>
        </w:tc>
        <w:tc>
          <w:tcPr>
            <w:tcW w:type="dxa" w:w="1606"/>
          </w:tcPr>
          <w:p>
            <w:pPr>
              <w:spacing w:line="240" w:lineRule="auto" w:after="0"/>
            </w:pPr>
            <w:r>
              <w:rPr>
                <w:rFonts w:ascii="Times New Roman" w:hAnsi="Times New Roman" w:eastAsia="SimSun"/>
                <w:sz w:val="19"/>
              </w:rPr>
              <w:t>0.0809</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sz w:val="19"/>
              </w:rPr>
              <w:t>swap 3000 man→woman</w:t>
            </w:r>
          </w:p>
        </w:tc>
        <w:tc>
          <w:tcPr>
            <w:tcW w:type="dxa" w:w="1606"/>
          </w:tcPr>
          <w:p>
            <w:pPr>
              <w:spacing w:line="240" w:lineRule="auto" w:after="0"/>
            </w:pPr>
            <w:r>
              <w:rPr>
                <w:rFonts w:ascii="Times New Roman" w:hAnsi="Times New Roman" w:eastAsia="SimSun"/>
                <w:sz w:val="19"/>
              </w:rPr>
              <w:t>0.978</w:t>
            </w:r>
          </w:p>
        </w:tc>
        <w:tc>
          <w:tcPr>
            <w:tcW w:type="dxa" w:w="1606"/>
          </w:tcPr>
          <w:p>
            <w:pPr>
              <w:spacing w:line="240" w:lineRule="auto" w:after="0"/>
            </w:pPr>
            <w:r>
              <w:rPr>
                <w:rFonts w:ascii="Times New Roman" w:hAnsi="Times New Roman" w:eastAsia="SimSun"/>
                <w:sz w:val="19"/>
              </w:rPr>
              <w:t>0.0924</w:t>
            </w:r>
          </w:p>
        </w:tc>
        <w:tc>
          <w:tcPr>
            <w:tcW w:type="dxa" w:w="1606"/>
          </w:tcPr>
          <w:p>
            <w:pPr>
              <w:spacing w:line="240" w:lineRule="auto" w:after="0"/>
            </w:pPr>
            <w:r>
              <w:rPr>
                <w:rFonts w:ascii="Times New Roman" w:hAnsi="Times New Roman" w:eastAsia="SimSun"/>
                <w:sz w:val="19"/>
              </w:rPr>
              <w:t>0.1062</w:t>
            </w:r>
          </w:p>
        </w:tc>
        <w:tc>
          <w:tcPr>
            <w:tcW w:type="dxa" w:w="1606"/>
          </w:tcPr>
          <w:p>
            <w:pPr>
              <w:spacing w:line="240" w:lineRule="auto" w:after="0"/>
            </w:pPr>
            <w:r>
              <w:rPr>
                <w:rFonts w:ascii="Times New Roman" w:hAnsi="Times New Roman" w:eastAsia="SimSun"/>
                <w:sz w:val="19"/>
              </w:rPr>
              <w:t>0.2854</w:t>
            </w:r>
          </w:p>
        </w:tc>
        <w:tc>
          <w:tcPr>
            <w:tcW w:type="dxa" w:w="1606"/>
          </w:tcPr>
          <w:p>
            <w:pPr>
              <w:spacing w:line="240" w:lineRule="auto" w:after="0"/>
            </w:pPr>
            <w:r>
              <w:rPr>
                <w:rFonts w:ascii="Times New Roman" w:hAnsi="Times New Roman" w:eastAsia="SimSun"/>
                <w:sz w:val="19"/>
              </w:rPr>
              <w:t>0.4694</w:t>
            </w:r>
          </w:p>
        </w:tc>
      </w:tr>
      <w:tr>
        <w:tc>
          <w:tcPr>
            <w:tcW w:type="dxa" w:w="1606"/>
          </w:tcPr>
          <w:p>
            <w:pPr>
              <w:spacing w:line="240" w:lineRule="auto" w:after="0"/>
            </w:pPr>
            <w:r>
              <w:rPr>
                <w:rFonts w:ascii="Times New Roman" w:hAnsi="Times New Roman" w:eastAsia="SimSun"/>
                <w:b/>
                <w:sz w:val="19"/>
              </w:rPr>
              <w:t>swap 3000 woman→man</w:t>
            </w:r>
          </w:p>
        </w:tc>
        <w:tc>
          <w:tcPr>
            <w:tcW w:type="dxa" w:w="1606"/>
          </w:tcPr>
          <w:p>
            <w:pPr>
              <w:spacing w:line="240" w:lineRule="auto" w:after="0"/>
            </w:pPr>
            <w:r>
              <w:rPr>
                <w:rFonts w:ascii="Times New Roman" w:hAnsi="Times New Roman" w:eastAsia="SimSun"/>
                <w:b/>
                <w:sz w:val="19"/>
              </w:rPr>
              <w:t>0.022</w:t>
            </w:r>
          </w:p>
        </w:tc>
        <w:tc>
          <w:tcPr>
            <w:tcW w:type="dxa" w:w="1606"/>
          </w:tcPr>
          <w:p>
            <w:pPr>
              <w:spacing w:line="240" w:lineRule="auto" w:after="0"/>
            </w:pPr>
            <w:r>
              <w:rPr>
                <w:rFonts w:ascii="Times New Roman" w:hAnsi="Times New Roman" w:eastAsia="SimSun"/>
                <w:b/>
                <w:sz w:val="19"/>
              </w:rPr>
              <w:t>0.0569</w:t>
            </w:r>
          </w:p>
        </w:tc>
        <w:tc>
          <w:tcPr>
            <w:tcW w:type="dxa" w:w="1606"/>
          </w:tcPr>
          <w:p>
            <w:pPr>
              <w:spacing w:line="240" w:lineRule="auto" w:after="0"/>
            </w:pPr>
            <w:r>
              <w:rPr>
                <w:rFonts w:ascii="Times New Roman" w:hAnsi="Times New Roman" w:eastAsia="SimSun"/>
                <w:sz w:val="19"/>
              </w:rPr>
              <w:t>0.0532</w:t>
            </w:r>
          </w:p>
        </w:tc>
        <w:tc>
          <w:tcPr>
            <w:tcW w:type="dxa" w:w="1606"/>
          </w:tcPr>
          <w:p>
            <w:pPr>
              <w:spacing w:line="240" w:lineRule="auto" w:after="0"/>
            </w:pPr>
            <w:r>
              <w:rPr>
                <w:rFonts w:ascii="Times New Roman" w:hAnsi="Times New Roman" w:eastAsia="SimSun"/>
                <w:sz w:val="19"/>
              </w:rPr>
              <w:t>0.2851</w:t>
            </w:r>
          </w:p>
        </w:tc>
        <w:tc>
          <w:tcPr>
            <w:tcW w:type="dxa" w:w="1606"/>
          </w:tcPr>
          <w:p>
            <w:pPr>
              <w:spacing w:line="240" w:lineRule="auto" w:after="0"/>
            </w:pPr>
            <w:r>
              <w:rPr>
                <w:rFonts w:ascii="Times New Roman" w:hAnsi="Times New Roman" w:eastAsia="SimSun"/>
                <w:sz w:val="19"/>
              </w:rPr>
              <w:t>0.4691</w:t>
            </w:r>
          </w:p>
        </w:tc>
      </w:tr>
    </w:tbl>
    <w:p/>
    <w:p>
      <w:r>
        <w:rPr>
          <w:rFonts w:ascii="Times New Roman" w:hAnsi="Times New Roman" w:eastAsia="SimSun"/>
          <w:sz w:val="22"/>
        </w:rPr>
        <w:t xml:space="preserve">Two conclusions, and they are what make the negative results interpretable rather than merely negative. First, </w:t>
      </w:r>
      <w:r>
        <w:rPr>
          <w:rFonts w:ascii="Times New Roman" w:hAnsi="Times New Roman" w:eastAsia="SimSun"/>
          <w:b/>
          <w:sz w:val="22"/>
        </w:rPr>
        <w:t>`drift_tv` and `drift_js` are working instruments</w:t>
      </w:r>
      <w:r>
        <w:rPr>
          <w:rFonts w:ascii="Times New Roman" w:hAnsi="Times New Roman" w:eastAsia="SimSun"/>
          <w:sz w:val="22"/>
        </w:rPr>
        <w:t xml:space="preserve">: they rise monotonically with a real composition change and respond to its direction. The R1 statistic is not broken; it is </w:t>
      </w:r>
      <w:r>
        <w:rPr>
          <w:rFonts w:ascii="Times New Roman" w:hAnsi="Times New Roman" w:eastAsia="SimSun"/>
          <w:i/>
          <w:sz w:val="22"/>
        </w:rPr>
        <w:t>specifically</w:t>
      </w:r>
      <w:r>
        <w:rPr>
          <w:rFonts w:ascii="Times New Roman" w:hAnsi="Times New Roman" w:eastAsia="SimSun"/>
          <w:sz w:val="22"/>
        </w:rPr>
        <w:t xml:space="preserve"> invariant to an injection that balances group counts, which is exactly what F1 predicts and what §5.2 measures. Second, </w:t>
      </w:r>
      <w:r>
        <w:rPr>
          <w:rFonts w:ascii="Times New Roman" w:hAnsi="Times New Roman" w:eastAsia="SimSun"/>
          <w:b/>
          <w:sz w:val="22"/>
        </w:rPr>
        <w:t>the two reference-based stance statistics barely move even here</w:t>
      </w:r>
      <w:r>
        <w:rPr>
          <w:rFonts w:ascii="Times New Roman" w:hAnsi="Times New Roman" w:eastAsia="SimSun"/>
          <w:sz w:val="22"/>
        </w:rPr>
        <w:t xml:space="preserve"> — </w:t>
      </w:r>
      <w:r>
        <w:rPr>
          <w:rFonts w:ascii="Consolas" w:hAnsi="Consolas" w:eastAsia="Consolas"/>
          <w:sz w:val="21"/>
        </w:rPr>
        <w:t>stance_div</w:t>
      </w:r>
      <w:r>
        <w:rPr>
          <w:rFonts w:ascii="Times New Roman" w:hAnsi="Times New Roman" w:eastAsia="SimSun"/>
          <w:sz w:val="22"/>
        </w:rPr>
        <w:t xml:space="preserve"> changes by 0.007 across a composition swing from 0.022 to 0.978 — which is independent confirmation of F2 on data whose ground truth is known by construction rather than inferred from an attack.</w:t>
      </w:r>
    </w:p>
    <w:p>
      <w:r>
        <w:rPr>
          <w:rFonts w:ascii="Times New Roman" w:hAnsi="Times New Roman" w:eastAsia="SimSun"/>
          <w:sz w:val="22"/>
        </w:rPr>
        <w:t>The contrast is the paper's central claim in one table: the same statistics that detect a 3000-passage composition change with $p \to 0$ detect a fully adversarial injection not at all.</w:t>
      </w:r>
    </w:p>
    <w:p>
      <w:pPr>
        <w:jc w:val="center"/>
      </w:pPr>
      <w:r>
        <w:drawing>
          <wp:inline xmlns:a="http://schemas.openxmlformats.org/drawingml/2006/main" xmlns:pic="http://schemas.openxmlformats.org/drawingml/2006/picture">
            <wp:extent cx="5040000" cy="1726737"/>
            <wp:docPr id="1" name="Picture 1"/>
            <wp:cNvGraphicFramePr>
              <a:graphicFrameLocks noChangeAspect="1"/>
            </wp:cNvGraphicFramePr>
            <a:graphic>
              <a:graphicData uri="http://schemas.openxmlformats.org/drawingml/2006/picture">
                <pic:pic>
                  <pic:nvPicPr>
                    <pic:cNvPr id="0" name="fig_responsiveness.png"/>
                    <pic:cNvPicPr/>
                  </pic:nvPicPr>
                  <pic:blipFill>
                    <a:blip r:embed="rId9"/>
                    <a:stretch>
                      <a:fillRect/>
                    </a:stretch>
                  </pic:blipFill>
                  <pic:spPr>
                    <a:xfrm>
                      <a:off x="0" y="0"/>
                      <a:ext cx="5040000" cy="1726737"/>
                    </a:xfrm>
                    <a:prstGeom prst="rect"/>
                  </pic:spPr>
                </pic:pic>
              </a:graphicData>
            </a:graphic>
          </wp:inline>
        </w:drawing>
      </w:r>
    </w:p>
    <w:p>
      <w:pPr>
        <w:jc w:val="center"/>
      </w:pPr>
      <w:r>
        <w:rPr>
          <w:i/>
          <w:sz w:val="17"/>
        </w:rPr>
        <w:t>Responsiveness control. Corpus size is held constant at 17{,}792 passages and passages are swapped between two well-populated groups, so the retrieval pool and the score threshold do not move and composition is the only variable. The ground-truth group share changes from 0.500 to 0.978 and back to 0.022; the R1 drift statistics track it monotonically and in the right direction, while the two reference-based R2 statistics are flat even here. The indicted statistics are therefore working instruments that are specifically invariant to an injection balancing group counts, not unreliable ones.</w:t>
      </w:r>
    </w:p>
    <w:p>
      <w:r>
        <w:rPr>
          <w:rFonts w:ascii="Times New Roman" w:hAnsi="Times New Roman" w:eastAsia="SimSun"/>
          <w:b/>
          <w:sz w:val="22"/>
        </w:rPr>
        <w:t>What the taxonomy does not claim.</w:t>
      </w:r>
      <w:r>
        <w:rPr>
          <w:rFonts w:ascii="Times New Roman" w:hAnsi="Times New Roman" w:eastAsia="SimSun"/>
          <w:sz w:val="22"/>
        </w:rPr>
        <w:t xml:space="preserve"> It is not a claim that no fairness metric can be robust. It is a claim about the class of statistics that appear in this literature, all of which are aggregates of the form (2), together with a constructive statement of what escapes the three modes: report $\phi_g$ for each $g$, and report how each moves. That recommendation is cheap, it is what §5.7 does, and it is the difference between detecting the attack and not.</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 xml:space="preserve">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§5.4 replicates the mechanism findings on the naturally written BBQ corpus, and §8 discusses why no </w:t>
      </w:r>
      <w:r>
        <w:rPr>
          <w:rFonts w:ascii="Times New Roman" w:hAnsi="Times New Roman" w:eastAsia="SimSun"/>
          <w:i/>
          <w:sz w:val="22"/>
        </w:rPr>
        <w:t>neutral</w:t>
      </w:r>
      <w:r>
        <w:rPr>
          <w:rFonts w:ascii="Times New Roman" w:hAnsi="Times New Roman" w:eastAsia="SimSun"/>
          <w:sz w:val="22"/>
        </w:rPr>
        <w:t xml:space="preserve"> retrieval corpus can substitute (§8, Limitation 1).</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 self-contained feature-hashing dense retriever, and — for the backbone alignment of §5.5 and the scale check of §5.6 — the encoders GTE-base [5], GTE-large, Contriever [8], E5-base-v2 and E5-large-v2 [4, 6], plus the learned-sparse retrievers SPLADE (distil) and SPLADE-efficient-large. Multilingual and instruction-tuned embedders remain to be swept (Limitation 5).</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§5.5 adds the backbone alignment against five further retrievers, §5.6 the encoder-scale check, and §5.7 the generation-stage propagation check. The controlled suite completes in ~25 s, the BBQ replication in ~180 s, and the multi-backbone sweep in ~12 min, all on CPU with no GPU.</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2 reports attack effect with no defense, over 48 queries across four bias strata.</w:t>
      </w:r>
    </w:p>
    <w:p>
      <w:r>
        <w:rPr>
          <w:rFonts w:ascii="Times New Roman" w:hAnsi="Times New Roman" w:eastAsia="SimSun"/>
          <w:b/>
          <w:sz w:val="22"/>
        </w:rPr>
        <w:t>Table 2.</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§3.3: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3.</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pPr>
        <w:jc w:val="center"/>
      </w:pPr>
      <w:r>
        <w:drawing>
          <wp:inline xmlns:a="http://schemas.openxmlformats.org/drawingml/2006/main" xmlns:pic="http://schemas.openxmlformats.org/drawingml/2006/picture">
            <wp:extent cx="3168000" cy="1800485"/>
            <wp:docPr id="2" name="Picture 2"/>
            <wp:cNvGraphicFramePr>
              <a:graphicFrameLocks noChangeAspect="1"/>
            </wp:cNvGraphicFramePr>
            <a:graphic>
              <a:graphicData uri="http://schemas.openxmlformats.org/drawingml/2006/picture">
                <pic:pic>
                  <pic:nvPicPr>
                    <pic:cNvPr id="0" name="fig_r1_inertness.png"/>
                    <pic:cNvPicPr/>
                  </pic:nvPicPr>
                  <pic:blipFill>
                    <a:blip r:embed="rId10"/>
                    <a:stretch>
                      <a:fillRect/>
                    </a:stretch>
                  </pic:blipFill>
                  <pic:spPr>
                    <a:xfrm>
                      <a:off x="0" y="0"/>
                      <a:ext cx="3168000" cy="1800485"/>
                    </a:xfrm>
                    <a:prstGeom prst="rect"/>
                  </pic:spPr>
                </pic:pic>
              </a:graphicData>
            </a:graphic>
          </wp:inline>
        </w:drawing>
      </w:r>
    </w:p>
    <w:p>
      <w:pPr>
        <w:jc w:val="center"/>
      </w:pPr>
      <w:r>
        <w:rPr>
          <w:i/>
          <w:sz w:val="17"/>
        </w:rPr>
        <w:t>R1-constraint inertness. Adversarial-passage inclusion as a function of the constraint budget $\varepsilon$, for the strictest ($\varepsilon=0$) through the loosest ($\varepsilon=1$) setting. Every constrained configuration coincides exactly with the unconstrained baseline -- the lines are not merely close, the per-query values are identical -- so the equivalence bound is $\pm 0.0000$ and the data exclude any effect on adversarial inclusion rather than an effect above some threshold.</w:t>
      </w:r>
    </w:p>
    <w:p>
      <w:r>
        <w:rPr>
          <w:rFonts w:ascii="Times New Roman" w:hAnsi="Times New Roman" w:eastAsia="SimSun"/>
          <w:b/>
          <w:sz w:val="22"/>
        </w:rPr>
        <w:t>This is a null result, so we state its strength rather than leaving a reader to guess.</w:t>
      </w:r>
      <w:r>
        <w:rPr>
          <w:rFonts w:ascii="Times New Roman" w:hAnsi="Times New Roman" w:eastAsia="SimSun"/>
          <w:sz w:val="22"/>
        </w:rPr>
        <w:t xml:space="preserve"> A point estimate of zero can mean "no effect" or "not enough data", and the distinction matters here because the claim is that a published defense family does nothing. We therefore report paired tests on the per-query data (Table B1) instead of aggregate means:</w:t>
      </w:r>
    </w:p>
    <w:p>
      <w:pPr>
        <w:pStyle w:val="ListBullet"/>
        <w:spacing w:line="360" w:lineRule="auto"/>
      </w:pPr>
      <w:r>
        <w:rPr>
          <w:rFonts w:ascii="Times New Roman" w:hAnsi="Times New Roman" w:eastAsia="SimSun"/>
          <w:sz w:val="22"/>
        </w:rPr>
        <w:t xml:space="preserve">For every R1-constrained configuration, the </w:t>
      </w:r>
      <w:r>
        <w:rPr>
          <w:rFonts w:ascii="Times New Roman" w:hAnsi="Times New Roman" w:eastAsia="SimSun"/>
          <w:b/>
          <w:sz w:val="22"/>
        </w:rPr>
        <w:t>per-query difference vector is identically zero</w:t>
      </w:r>
      <w:r>
        <w:rPr>
          <w:rFonts w:ascii="Times New Roman" w:hAnsi="Times New Roman" w:eastAsia="SimSun"/>
          <w:sz w:val="22"/>
        </w:rPr>
        <w:t xml:space="preserve"> — not small, zero. The paired bootstrap CI collapses to [0, 0] and the permutation test is degenerate by construction. The informative statistic is the equivalence bound: because the differences are exactly zero rather than approximately zero, </w:t>
      </w:r>
      <w:r>
        <w:rPr>
          <w:rFonts w:ascii="Times New Roman" w:hAnsi="Times New Roman" w:eastAsia="SimSun"/>
          <w:b/>
          <w:sz w:val="22"/>
        </w:rPr>
        <w:t>these cells exclude any effect on adversarial-passage inclusion, not merely an effect above a threshold.</w:t>
      </w:r>
    </w:p>
    <w:p>
      <w:pPr>
        <w:pStyle w:val="ListBullet"/>
        <w:spacing w:line="360" w:lineRule="auto"/>
      </w:pPr>
      <w:r>
        <w:rPr>
          <w:rFonts w:ascii="Times New Roman" w:hAnsi="Times New Roman" w:eastAsia="SimSun"/>
          <w:sz w:val="22"/>
        </w:rPr>
        <w:t xml:space="preserve">The reason is a </w:t>
      </w:r>
      <w:r>
        <w:rPr>
          <w:rFonts w:ascii="Times New Roman" w:hAnsi="Times New Roman" w:eastAsia="SimSun"/>
          <w:b/>
          <w:sz w:val="22"/>
        </w:rPr>
        <w:t>ceiling</w:t>
      </w:r>
      <w:r>
        <w:rPr>
          <w:rFonts w:ascii="Times New Roman" w:hAnsi="Times New Roman" w:eastAsia="SimSun"/>
          <w:sz w:val="22"/>
        </w:rPr>
        <w:t>, and this is stronger than a failure to detect an effect. The unconstrained baseline already admits adversarial passages on every query it can — 1.000 for the dense retriever, 0.750 for BM25 — so there is no headroom for a constraint to demonstrate a reduction even in principle.</w:t>
      </w:r>
    </w:p>
    <w:p>
      <w:pPr>
        <w:pStyle w:val="ListBullet"/>
        <w:spacing w:line="360" w:lineRule="auto"/>
      </w:pPr>
      <w:r>
        <w:rPr>
          <w:rFonts w:ascii="Times New Roman" w:hAnsi="Times New Roman" w:eastAsia="SimSun"/>
          <w:sz w:val="22"/>
        </w:rPr>
        <w:t xml:space="preserve">The ceiling is not an artefact of the constraint being unable to change the selection. It </w:t>
      </w:r>
      <w:r>
        <w:rPr>
          <w:rFonts w:ascii="Times New Roman" w:hAnsi="Times New Roman" w:eastAsia="SimSun"/>
          <w:i/>
          <w:sz w:val="22"/>
        </w:rPr>
        <w:t>does</w:t>
      </w:r>
      <w:r>
        <w:rPr>
          <w:rFonts w:ascii="Times New Roman" w:hAnsi="Times New Roman" w:eastAsia="SimSun"/>
          <w:sz w:val="22"/>
        </w:rPr>
        <w:t xml:space="preserve"> change it: on BM25 the R2 stance gap moves from 0.7436 (no defense) to 0.5385 under the R2-only constraint, so different passages are being selected. </w:t>
      </w:r>
      <w:r>
        <w:rPr>
          <w:rFonts w:ascii="Times New Roman" w:hAnsi="Times New Roman" w:eastAsia="SimSun"/>
          <w:b/>
          <w:sz w:val="22"/>
        </w:rPr>
        <w:t>The selection changes and not one adversarial passage is displaced.</w:t>
      </w:r>
    </w:p>
    <w:p>
      <w:r>
        <w:rPr>
          <w:rFonts w:ascii="Times New Roman" w:hAnsi="Times New Roman" w:eastAsia="SimSun"/>
          <w:sz w:val="22"/>
        </w:rPr>
        <w:t>We give the full paired-test table, including the equivalence bounds and the contrast cells where the constraint does change the selection, in Appendix B.</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sz w:val="22"/>
        </w:rPr>
        <w:t>The adaptive sweep is in Appendix C, Table C1; the ranking inverts as described below.</w:t>
      </w:r>
    </w:p>
    <w:p>
      <w:r>
        <w:rPr>
          <w:rFonts w:ascii="Times New Roman" w:hAnsi="Times New Roman" w:eastAsia="SimSun"/>
          <w:sz w:val="22"/>
        </w:rPr>
        <w:t xml:space="preserve">The adaptive attacker defeats every defense. Off-manifold filtering is by a wide margin the strongest at $\lambda = 0$ (0.250, against 0.750 for no defense)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xml:space="preserve"> and does not reproduce the scratch values. The qualitative conclusion is unchanged, but the static advantage is a factor of three, not six. The same error appeared in the companion paper's Table 1 and is corrected there as well; we record it here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Encoder robustness: a per-checkpoint property, not a family property</w:t>
      </w:r>
    </w:p>
    <w:p>
      <w:r>
        <w:rPr>
          <w:rFonts w:ascii="Times New Roman" w:hAnsi="Times New Roman" w:eastAsia="SimSun"/>
          <w:sz w:val="22"/>
        </w:rPr>
        <w:t xml:space="preserve">The results so far are measured on our own retrievers. The encoders this literature actually uses differ substantially in how much structure an attacker can exploit, so we evaluate the attack across nine retrieval back-ends: BM25 and a self-contained feature-hashing dense retriever; the learned-sparse retriever SPLADE at two sizes; and the dense semantic encoders the compared work uses — GTE-base [5] and its larger sibling GTE-large, Contriever [8], and E5-base-v2 [4, 6] with E5-large-v2. We include SPLADE specifically because it separates two explanations a lexical-versus-semantic comparison cannot: it is sparse like BM25 but learned like a neural encoder. E5 receives its required </w:t>
      </w:r>
      <w:r>
        <w:rPr>
          <w:rFonts w:ascii="Consolas" w:hAnsi="Consolas" w:eastAsia="Consolas"/>
          <w:sz w:val="21"/>
        </w:rPr>
        <w:t>query:</w:t>
      </w:r>
      <w:r>
        <w:rPr>
          <w:rFonts w:ascii="Times New Roman" w:hAnsi="Times New Roman" w:eastAsia="SimSun"/>
          <w:sz w:val="22"/>
        </w:rPr>
        <w:t xml:space="preserve"> / </w:t>
      </w:r>
      <w:r>
        <w:rPr>
          <w:rFonts w:ascii="Consolas" w:hAnsi="Consolas" w:eastAsia="Consolas"/>
          <w:sz w:val="21"/>
        </w:rPr>
        <w:t>passage:</w:t>
      </w:r>
      <w:r>
        <w:rPr>
          <w:rFonts w:ascii="Times New Roman" w:hAnsi="Times New Roman" w:eastAsia="SimSun"/>
          <w:sz w:val="22"/>
        </w:rPr>
        <w:t xml:space="preserve"> prefixes; omitting them degrades retrieval and would distort the comparison.</w:t>
      </w:r>
    </w:p>
    <w:p>
      <w:r>
        <w:rPr>
          <w:rFonts w:ascii="Times New Roman" w:hAnsi="Times New Roman" w:eastAsia="SimSun"/>
          <w:b/>
          <w:sz w:val="22"/>
        </w:rPr>
        <w:t>Table 8.</w:t>
      </w:r>
      <w:r>
        <w:rPr>
          <w:rFonts w:ascii="Times New Roman" w:hAnsi="Times New Roman" w:eastAsia="SimSun"/>
          <w:sz w:val="22"/>
        </w:rPr>
        <w:t xml:space="preserve"> Projection attack (</w:t>
      </w:r>
      <w:r>
        <w:rPr>
          <w:rFonts w:ascii="Consolas" w:hAnsi="Consolas" w:eastAsia="Consolas"/>
          <w:sz w:val="21"/>
        </w:rPr>
        <w:t>template_plus_projection</w:t>
      </w:r>
      <w:r>
        <w:rPr>
          <w:rFonts w:ascii="Times New Roman" w:hAnsi="Times New Roman" w:eastAsia="SimSun"/>
          <w:sz w:val="22"/>
        </w:rPr>
        <w:t>), $\rho = 0.5\%$, no defense. The scale column pairs each encoder with its larger sibling from the same family and training recipe.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Times New Roman" w:hAnsi="Times New Roman" w:eastAsia="SimSun"/>
                <w:b/>
                <w:sz w:val="19"/>
              </w:rPr>
              <w:t>size</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Times New Roman" w:hAnsi="Times New Roman" w:eastAsia="SimSun"/>
                <w:b/>
                <w:sz w:val="19"/>
              </w:rPr>
              <w:t>R2 gap</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not semantic</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SPLADE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66M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0.750</w:t>
            </w:r>
          </w:p>
        </w:tc>
      </w:tr>
      <w:tr>
        <w:tc>
          <w:tcPr>
            <w:tcW w:type="dxa" w:w="1606"/>
          </w:tcPr>
          <w:p>
            <w:pPr>
              <w:spacing w:line="240" w:lineRule="auto" w:after="0"/>
            </w:pPr>
            <w:r>
              <w:rPr>
                <w:rFonts w:ascii="Times New Roman" w:hAnsi="Times New Roman" w:eastAsia="SimSun"/>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0.2687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0.4688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0.4188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0.3687</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110M</w:t>
            </w:r>
          </w:p>
        </w:tc>
        <w:tc>
          <w:tcPr>
            <w:tcW w:type="dxa" w:w="1606"/>
          </w:tcPr>
          <w:p>
            <w:pPr>
              <w:spacing w:line="240" w:lineRule="auto" w:after="0"/>
            </w:pPr>
            <w:r>
              <w:rPr>
                <w:rFonts w:ascii="Times New Roman" w:hAnsi="Times New Roman" w:eastAsia="SimSun"/>
                <w:sz w:val="19"/>
              </w:rPr>
              <w:t>0.4000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335M</w:t>
            </w:r>
          </w:p>
        </w:tc>
        <w:tc>
          <w:tcPr>
            <w:tcW w:type="dxa" w:w="1606"/>
          </w:tcPr>
          <w:p>
            <w:pPr>
              <w:spacing w:line="240" w:lineRule="auto" w:after="0"/>
            </w:pPr>
            <w:r>
              <w:rPr>
                <w:rFonts w:ascii="Times New Roman" w:hAnsi="Times New Roman" w:eastAsia="SimSun"/>
                <w:sz w:val="19"/>
              </w:rPr>
              <w:t>0.3750</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Every back-end is attacked, and the R2 gap saturates at its maximum for all but BM25. The dense encoders' R1 drift (0.37–0.47) is </w:t>
      </w:r>
      <w:r>
        <w:rPr>
          <w:rFonts w:ascii="Times New Roman" w:hAnsi="Times New Roman" w:eastAsia="SimSun"/>
          <w:b/>
          <w:sz w:val="22"/>
        </w:rPr>
        <w:t>2.3×–2.9×</w:t>
      </w:r>
      <w:r>
        <w:rPr>
          <w:rFonts w:ascii="Times New Roman" w:hAnsi="Times New Roman" w:eastAsia="SimSun"/>
          <w:sz w:val="22"/>
        </w:rPr>
        <w:t xml:space="preserve"> that of BM25 (0.16):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continuous semantic space, the opposite of what we expected when adding this experiment.</w:t>
      </w:r>
    </w:p>
    <w:p>
      <w:r>
        <w:rPr>
          <w:rFonts w:ascii="Times New Roman" w:hAnsi="Times New Roman" w:eastAsia="SimSun"/>
          <w:b/>
          <w:sz w:val="22"/>
        </w:rPr>
        <w:t>Table 9.</w:t>
      </w:r>
      <w:r>
        <w:rPr>
          <w:rFonts w:ascii="Times New Roman" w:hAnsi="Times New Roman" w:eastAsia="SimSun"/>
          <w:sz w:val="22"/>
        </w:rPr>
        <w:t xml:space="preserve"> Text-only (lexical) attack, $\rho = 0.5\%$ and $2\%$, no defense. This is where the back-ends separate.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representation</w:t>
            </w:r>
          </w:p>
        </w:tc>
        <w:tc>
          <w:tcPr>
            <w:tcW w:type="dxa" w:w="1606"/>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@0.5%</w:t>
            </w:r>
          </w:p>
        </w:tc>
        <w:tc>
          <w:tcPr>
            <w:tcW w:type="dxa" w:w="1606"/>
            <w:shd w:val="clear" w:color="auto" w:fill="DCE6F1"/>
          </w:tcPr>
          <w:p>
            <w:pPr>
              <w:spacing w:line="240" w:lineRule="auto" w:after="0"/>
            </w:pPr>
            <w:r>
              <w:rPr>
                <w:rFonts w:ascii="Times New Roman" w:hAnsi="Times New Roman" w:eastAsia="SimSun"/>
                <w:b/>
                <w:sz w:val="19"/>
              </w:rPr>
              <w:t>@2%</w:t>
            </w:r>
          </w:p>
        </w:tc>
        <w:tc>
          <w:tcPr>
            <w:tcW w:type="dxa" w:w="1606"/>
            <w:shd w:val="clear" w:color="auto" w:fill="DCE6F1"/>
          </w:tcPr>
          <w:p>
            <w:pPr>
              <w:spacing w:line="240" w:lineRule="auto" w:after="0"/>
            </w:pPr>
            <w:r>
              <w:rPr>
                <w:rFonts w:ascii="Times New Roman" w:hAnsi="Times New Roman" w:eastAsia="SimSun"/>
                <w:b/>
                <w:sz w:val="19"/>
              </w:rPr>
              <w:t>R1 drift</w:t>
            </w:r>
          </w:p>
        </w:tc>
        <w:tc>
          <w:tcPr>
            <w:tcW w:type="dxa" w:w="1606"/>
            <w:shd w:val="clear" w:color="auto" w:fill="DCE6F1"/>
          </w:tcPr>
          <w:p>
            <w:pPr>
              <w:spacing w:line="240" w:lineRule="auto" w:after="0"/>
            </w:pPr>
            <w:r>
              <w:rPr>
                <w:rFonts w:ascii="Consolas" w:hAnsi="Consolas" w:eastAsia="Consolas"/>
                <w:b/>
                <w:sz w:val="18"/>
              </w:rPr>
              <w:t>fav_g2</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lexical, unsupervised sparse</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0.7500</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0.7436</w:t>
            </w:r>
          </w:p>
        </w:tc>
      </w:tr>
      <w:tr>
        <w:tc>
          <w:tcPr>
            <w:tcW w:type="dxa" w:w="1606"/>
          </w:tcPr>
          <w:p>
            <w:pPr>
              <w:spacing w:line="240" w:lineRule="auto" w:after="0"/>
            </w:pPr>
            <w:r>
              <w:rPr>
                <w:rFonts w:ascii="Times New Roman" w:hAnsi="Times New Roman" w:eastAsia="SimSun"/>
                <w:sz w:val="19"/>
              </w:rPr>
              <w:t>dense (feature hashing)</w:t>
            </w:r>
          </w:p>
        </w:tc>
        <w:tc>
          <w:tcPr>
            <w:tcW w:type="dxa" w:w="1606"/>
          </w:tcPr>
          <w:p>
            <w:pPr>
              <w:spacing w:line="240" w:lineRule="auto" w:after="0"/>
            </w:pPr>
            <w:r>
              <w:rPr>
                <w:rFonts w:ascii="Times New Roman" w:hAnsi="Times New Roman" w:eastAsia="SimSun"/>
                <w:sz w:val="19"/>
              </w:rPr>
              <w:t>hashed (keeps lexical surface)</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0.0812</w:t>
            </w:r>
          </w:p>
        </w:tc>
        <w:tc>
          <w:tcPr>
            <w:tcW w:type="dxa" w:w="1606"/>
          </w:tcPr>
          <w:p>
            <w:pPr>
              <w:spacing w:line="240" w:lineRule="auto" w:after="0"/>
            </w:pPr>
            <w:r>
              <w:rPr>
                <w:rFonts w:ascii="Times New Roman" w:hAnsi="Times New Roman" w:eastAsia="SimSun"/>
                <w:sz w:val="19"/>
              </w:rPr>
              <w:t>0.6167</w:t>
            </w:r>
          </w:p>
        </w:tc>
      </w:tr>
      <w:tr>
        <w:tc>
          <w:tcPr>
            <w:tcW w:type="dxa" w:w="1606"/>
          </w:tcPr>
          <w:p>
            <w:pPr>
              <w:spacing w:line="240" w:lineRule="auto" w:after="0"/>
            </w:pPr>
            <w:r>
              <w:rPr>
                <w:rFonts w:ascii="Times New Roman" w:hAnsi="Times New Roman" w:eastAsia="SimSun"/>
                <w:b/>
                <w:sz w:val="19"/>
              </w:rPr>
              <w:t>SPLADE</w:t>
            </w:r>
          </w:p>
        </w:tc>
        <w:tc>
          <w:tcPr>
            <w:tcW w:type="dxa" w:w="1606"/>
          </w:tcPr>
          <w:p>
            <w:pPr>
              <w:spacing w:line="240" w:lineRule="auto" w:after="0"/>
            </w:pPr>
            <w:r>
              <w:rPr>
                <w:rFonts w:ascii="Times New Roman" w:hAnsi="Times New Roman" w:eastAsia="SimSun"/>
                <w:b/>
                <w:sz w:val="19"/>
              </w:rPr>
              <w:t>learned sparse</w:t>
            </w:r>
          </w:p>
        </w:tc>
        <w:tc>
          <w:tcPr>
            <w:tcW w:type="dxa" w:w="1606"/>
          </w:tcPr>
          <w:p>
            <w:pPr>
              <w:spacing w:line="240" w:lineRule="auto" w:after="0"/>
            </w:pPr>
            <w:r>
              <w:rPr>
                <w:rFonts w:ascii="Times New Roman" w:hAnsi="Times New Roman" w:eastAsia="SimSun"/>
                <w:b/>
                <w:sz w:val="19"/>
              </w:rPr>
              <w:t>0.6250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b/>
                <w:sz w:val="19"/>
              </w:rPr>
              <w:t>1.0000</w:t>
            </w:r>
          </w:p>
        </w:tc>
      </w:tr>
      <w:tr>
        <w:tc>
          <w:tcPr>
            <w:tcW w:type="dxa" w:w="1606"/>
          </w:tcPr>
          <w:p>
            <w:pPr>
              <w:spacing w:line="240" w:lineRule="auto" w:after="0"/>
            </w:pPr>
            <w:r>
              <w:rPr>
                <w:rFonts w:ascii="Times New Roman" w:hAnsi="Times New Roman" w:eastAsia="SimSun"/>
                <w:b/>
                <w:sz w:val="19"/>
              </w:rPr>
              <w:t>SPLADE large</w:t>
            </w:r>
          </w:p>
        </w:tc>
        <w:tc>
          <w:tcPr>
            <w:tcW w:type="dxa" w:w="1606"/>
          </w:tcPr>
          <w:p>
            <w:pPr>
              <w:spacing w:line="240" w:lineRule="auto" w:after="0"/>
            </w:pPr>
            <w:r>
              <w:rPr>
                <w:rFonts w:ascii="Times New Roman" w:hAnsi="Times New Roman" w:eastAsia="SimSun"/>
                <w:sz w:val="19"/>
              </w:rPr>
              <w:t>learned sparse</w:t>
            </w:r>
          </w:p>
        </w:tc>
        <w:tc>
          <w:tcPr>
            <w:tcW w:type="dxa" w:w="1606"/>
          </w:tcPr>
          <w:p>
            <w:pPr>
              <w:spacing w:line="240" w:lineRule="auto" w:after="0"/>
            </w:pPr>
            <w:r>
              <w:rPr>
                <w:rFonts w:ascii="Times New Roman" w:hAnsi="Times New Roman" w:eastAsia="SimSun"/>
                <w:b/>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0.8810</w:t>
            </w:r>
          </w:p>
        </w:tc>
      </w:tr>
      <w:tr>
        <w:tc>
          <w:tcPr>
            <w:tcW w:type="dxa" w:w="1606"/>
          </w:tcPr>
          <w:p>
            <w:pPr>
              <w:spacing w:line="240" w:lineRule="auto" w:after="0"/>
            </w:pPr>
            <w:r>
              <w:rPr>
                <w:rFonts w:ascii="Times New Roman" w:hAnsi="Times New Roman" w:eastAsia="SimSun"/>
                <w:sz w:val="19"/>
              </w:rPr>
              <w:t>Contriever</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0.5625</w:t>
            </w:r>
          </w:p>
        </w:tc>
        <w:tc>
          <w:tcPr>
            <w:tcW w:type="dxa" w:w="1606"/>
          </w:tcPr>
          <w:p>
            <w:pPr>
              <w:spacing w:line="240" w:lineRule="auto" w:after="0"/>
            </w:pPr>
            <w:r>
              <w:rPr>
                <w:rFonts w:ascii="Times New Roman" w:hAnsi="Times New Roman" w:eastAsia="SimSun"/>
                <w:sz w:val="19"/>
              </w:rPr>
              <w:t>0.1750</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GTE-base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GTE-large</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0.5000</w:t>
            </w:r>
          </w:p>
        </w:tc>
        <w:tc>
          <w:tcPr>
            <w:tcW w:type="dxa" w:w="1606"/>
          </w:tcPr>
          <w:p>
            <w:pPr>
              <w:spacing w:line="240" w:lineRule="auto" w:after="0"/>
            </w:pPr>
            <w:r>
              <w:rPr>
                <w:rFonts w:ascii="Times New Roman" w:hAnsi="Times New Roman" w:eastAsia="SimSun"/>
                <w:sz w:val="19"/>
              </w:rPr>
              <w:t>0.5000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0.9444</w:t>
            </w:r>
          </w:p>
        </w:tc>
      </w:tr>
      <w:tr>
        <w:tc>
          <w:tcPr>
            <w:tcW w:type="dxa" w:w="1606"/>
          </w:tcPr>
          <w:p>
            <w:pPr>
              <w:spacing w:line="240" w:lineRule="auto" w:after="0"/>
            </w:pPr>
            <w:r>
              <w:rPr>
                <w:rFonts w:ascii="Times New Roman" w:hAnsi="Times New Roman" w:eastAsia="SimSun"/>
                <w:sz w:val="19"/>
              </w:rPr>
              <w:t>E5-base-v2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0.0625</w:t>
            </w:r>
          </w:p>
        </w:tc>
        <w:tc>
          <w:tcPr>
            <w:tcW w:type="dxa" w:w="1606"/>
          </w:tcPr>
          <w:p>
            <w:pPr>
              <w:spacing w:line="240" w:lineRule="auto" w:after="0"/>
            </w:pPr>
            <w:r>
              <w:rPr>
                <w:rFonts w:ascii="Times New Roman" w:hAnsi="Times New Roman" w:eastAsia="SimSun"/>
                <w:sz w:val="19"/>
              </w:rPr>
              <w:t>0.0625</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r>
        <w:tc>
          <w:tcPr>
            <w:tcW w:type="dxa" w:w="1606"/>
          </w:tcPr>
          <w:p>
            <w:pPr>
              <w:spacing w:line="240" w:lineRule="auto" w:after="0"/>
            </w:pPr>
            <w:r>
              <w:rPr>
                <w:rFonts w:ascii="Times New Roman" w:hAnsi="Times New Roman" w:eastAsia="SimSun"/>
                <w:b/>
                <w:sz w:val="19"/>
              </w:rPr>
              <w:t>E5-large-v2</w:t>
            </w:r>
          </w:p>
        </w:tc>
        <w:tc>
          <w:tcPr>
            <w:tcW w:type="dxa" w:w="1606"/>
          </w:tcPr>
          <w:p>
            <w:pPr>
              <w:spacing w:line="240" w:lineRule="auto" w:after="0"/>
            </w:pPr>
            <w:r>
              <w:rPr>
                <w:rFonts w:ascii="Times New Roman" w:hAnsi="Times New Roman" w:eastAsia="SimSun"/>
                <w:sz w:val="19"/>
              </w:rPr>
              <w:t>dense semantic</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0.0000</w:t>
            </w:r>
          </w:p>
        </w:tc>
        <w:tc>
          <w:tcPr>
            <w:tcW w:type="dxa" w:w="1606"/>
          </w:tcPr>
          <w:p>
            <w:pPr>
              <w:spacing w:line="240" w:lineRule="auto" w:after="0"/>
            </w:pPr>
            <w:r>
              <w:rPr>
                <w:rFonts w:ascii="Times New Roman" w:hAnsi="Times New Roman" w:eastAsia="SimSun"/>
                <w:sz w:val="19"/>
              </w:rPr>
              <w:t>n/a</w:t>
            </w:r>
          </w:p>
        </w:tc>
      </w:tr>
    </w:tbl>
    <w:p/>
    <w:p>
      <w:r>
        <w:rPr>
          <w:rFonts w:ascii="Times New Roman" w:hAnsi="Times New Roman" w:eastAsia="SimSun"/>
          <w:sz w:val="22"/>
        </w:rPr>
        <w:t>Three observations, and they are the finding.</w:t>
      </w:r>
    </w:p>
    <w:p>
      <w:r>
        <w:rPr>
          <w:rFonts w:ascii="Times New Roman" w:hAnsi="Times New Roman" w:eastAsia="SimSun"/>
          <w:b/>
          <w:sz w:val="22"/>
        </w:rPr>
        <w:t>Finding 7. Sparsity, not "neuralness", predicts susceptibility at a fixed size, but it is a correlate rather than a law.</w:t>
      </w:r>
      <w:r>
        <w:rPr>
          <w:rFonts w:ascii="Times New Roman" w:hAnsi="Times New Roman" w:eastAsia="SimSun"/>
          <w:sz w:val="22"/>
        </w:rPr>
        <w:t xml:space="preserve"> SPLADE learns its term weights — it is a neural encoder trained on relevance — yet it is as susceptible as BM25 (0.6250 versus 0.7500), because its representation is still a sparse bag of term weights. The attack raises a passage's score by appending query-aligned terms, which requires the representation to expose </w:t>
      </w:r>
      <w:r>
        <w:rPr>
          <w:rFonts w:ascii="Times New Roman" w:hAnsi="Times New Roman" w:eastAsia="SimSun"/>
          <w:b/>
          <w:sz w:val="22"/>
        </w:rPr>
        <w:t>per-term contributions</w:t>
      </w:r>
      <w:r>
        <w:rPr>
          <w:rFonts w:ascii="Times New Roman" w:hAnsi="Times New Roman" w:eastAsia="SimSun"/>
          <w:sz w:val="22"/>
        </w:rPr>
        <w:t xml:space="preserve">: a sparse retriever does that whether or not its weights are learned, and a dense encoder absorbs the appended text into a single vector. SPLADE is in fact the </w:t>
      </w:r>
      <w:r>
        <w:rPr>
          <w:rFonts w:ascii="Times New Roman" w:hAnsi="Times New Roman" w:eastAsia="SimSun"/>
          <w:i/>
          <w:sz w:val="22"/>
        </w:rPr>
        <w:t>most</w:t>
      </w:r>
      <w:r>
        <w:rPr>
          <w:rFonts w:ascii="Times New Roman" w:hAnsi="Times New Roman" w:eastAsia="SimSun"/>
          <w:sz w:val="22"/>
        </w:rPr>
        <w:t xml:space="preserve"> efficiently attacked of the nine on the R2 dimension, reaching the maximum stance gap 1.0000 where BM25 reaches 0.7436 — its learned weighting evidently concentrates score on exactly the terms the attacker appends. But sparsity is a correlate, not a law, and two cases bound it: Contriever is dense and semantic yet nearly as susceptible as BM25 (0.5625), and GTE-large is dense and semantic yet eight times more susceptible than its own base checkpoint.</w:t>
      </w:r>
    </w:p>
    <w:p>
      <w:pPr>
        <w:jc w:val="center"/>
      </w:pPr>
      <w:r>
        <w:drawing>
          <wp:inline xmlns:a="http://schemas.openxmlformats.org/drawingml/2006/main" xmlns:pic="http://schemas.openxmlformats.org/drawingml/2006/picture">
            <wp:extent cx="3168000" cy="2231931"/>
            <wp:docPr id="3" name="Picture 3"/>
            <wp:cNvGraphicFramePr>
              <a:graphicFrameLocks noChangeAspect="1"/>
            </wp:cNvGraphicFramePr>
            <a:graphic>
              <a:graphicData uri="http://schemas.openxmlformats.org/drawingml/2006/picture">
                <pic:pic>
                  <pic:nvPicPr>
                    <pic:cNvPr id="0" name="fig_encoder_scale.png"/>
                    <pic:cNvPicPr/>
                  </pic:nvPicPr>
                  <pic:blipFill>
                    <a:blip r:embed="rId11"/>
                    <a:stretch>
                      <a:fillRect/>
                    </a:stretch>
                  </pic:blipFill>
                  <pic:spPr>
                    <a:xfrm>
                      <a:off x="0" y="0"/>
                      <a:ext cx="3168000" cy="2231931"/>
                    </a:xfrm>
                    <a:prstGeom prst="rect"/>
                  </pic:spPr>
                </pic:pic>
              </a:graphicData>
            </a:graphic>
          </wp:inline>
        </w:drawing>
      </w:r>
    </w:p>
    <w:p>
      <w:pPr>
        <w:jc w:val="center"/>
      </w:pPr>
      <w:r>
        <w:rPr>
          <w:i/>
          <w:sz w:val="17"/>
        </w:rPr>
        <w:t>Text-attack susceptibility at base and large scale, within each encoder family and training recipe. GTE and E5 are equally resistant at base size and move in opposite directions when enlarged: E5 becomes fully resistant ($0.0625 \rightarrow 0.0000$) while GTE becomes eight times more susceptible ($0.0625 \rightarrow 0.5000$). The learned-sparse retriever is susceptible at both sizes. Since the only variable is the checkpoint, susceptibility is a per-checkpoint property that cannot be inferred from architecture, size or representation family.</w:t>
      </w:r>
    </w:p>
    <w:p>
      <w:r>
        <w:rPr>
          <w:rFonts w:ascii="Times New Roman" w:hAnsi="Times New Roman" w:eastAsia="SimSun"/>
          <w:b/>
          <w:sz w:val="22"/>
        </w:rPr>
        <w:t>Finding 11. Susceptibility is not monotone in encoder scale, and scaling can destroy resistance entirely.</w:t>
      </w:r>
      <w:r>
        <w:rPr>
          <w:rFonts w:ascii="Times New Roman" w:hAnsi="Times New Roman" w:eastAsia="SimSun"/>
          <w:sz w:val="22"/>
        </w:rPr>
        <w:t xml:space="preserve"> Table 9's clearest result is unexpected: GTE-base and E5-base-v2 are equally resistant at base size (both 0.0625 — the attack succeeds on three of 48 queries), and enlarging both by the same factor of three moves them in </w:t>
      </w:r>
      <w:r>
        <w:rPr>
          <w:rFonts w:ascii="Times New Roman" w:hAnsi="Times New Roman" w:eastAsia="SimSun"/>
          <w:i/>
          <w:sz w:val="22"/>
        </w:rPr>
        <w:t>opposite</w:t>
      </w:r>
      <w:r>
        <w:rPr>
          <w:rFonts w:ascii="Times New Roman" w:hAnsi="Times New Roman" w:eastAsia="SimSun"/>
          <w:sz w:val="22"/>
        </w:rPr>
        <w:t xml:space="preserve"> directions. </w:t>
      </w:r>
      <w:r>
        <w:rPr>
          <w:rFonts w:ascii="Times New Roman" w:hAnsi="Times New Roman" w:eastAsia="SimSun"/>
          <w:b/>
          <w:sz w:val="22"/>
        </w:rPr>
        <w:t>E5-large-v2 becomes more resistant (0.0625 → 0.0000, the attack now fails on every query); GTE-large becomes eight times more susceptible (0.0625 → 0.5000, succeeding on 24 of 48).</w:t>
      </w:r>
      <w:r>
        <w:rPr>
          <w:rFonts w:ascii="Times New Roman" w:hAnsi="Times New Roman" w:eastAsia="SimSun"/>
          <w:sz w:val="22"/>
        </w:rPr>
        <w:t xml:space="preserve"> SPLADE is susceptible at both sizes with little change (0.6250 → 0.5625). Per-query inclusion is binary, so this is a shift in </w:t>
      </w:r>
      <w:r>
        <w:rPr>
          <w:rFonts w:ascii="Times New Roman" w:hAnsi="Times New Roman" w:eastAsia="SimSun"/>
          <w:i/>
          <w:sz w:val="22"/>
        </w:rPr>
        <w:t>how many</w:t>
      </w:r>
      <w:r>
        <w:rPr>
          <w:rFonts w:ascii="Times New Roman" w:hAnsi="Times New Roman" w:eastAsia="SimSun"/>
          <w:sz w:val="22"/>
        </w:rPr>
        <w:t xml:space="preserve"> queries are compromised, not a drift in a continuous score.</w:t>
      </w:r>
    </w:p>
    <w:p>
      <w:r>
        <w:rPr>
          <w:rFonts w:ascii="Times New Roman" w:hAnsi="Times New Roman" w:eastAsia="SimSun"/>
          <w:b/>
          <w:sz w:val="22"/>
        </w:rPr>
        <w:t>The mechanism is not geometry.</w:t>
      </w:r>
      <w:r>
        <w:rPr>
          <w:rFonts w:ascii="Times New Roman" w:hAnsi="Times New Roman" w:eastAsia="SimSun"/>
          <w:sz w:val="22"/>
        </w:rPr>
        <w:t xml:space="preserve"> We tested the obvious explanation and it is wrong, which makes the result more informative. If GTE-large's space were more anisotropic — vectors collapsed into a narrower cone — a fixed textual nudge would move rank further, and the finding would reduce to a known property. Measured, GTE-base and GTE-large are near-identical in mean pairwise cosine (0.8484 vs 0.8579), effective dimensionality (13.2 both, against 768 and 1024 nominal), and spread of query similarity (0.0860 vs 0.0895); the E5 pair behaves the same (0.8291 / 0.8375; 13.9 / 14.8). What differs is the gain the attack buys:</w:t>
      </w:r>
    </w:p>
    <w:p>
      <w:r>
        <w:rPr>
          <w:rFonts w:ascii="Times New Roman" w:hAnsi="Times New Roman" w:eastAsia="SimSun"/>
          <w:b/>
          <w:sz w:val="22"/>
        </w:rPr>
        <w:t>Table 10.</w:t>
      </w:r>
      <w:r>
        <w:rPr>
          <w:rFonts w:ascii="Times New Roman" w:hAnsi="Times New Roman" w:eastAsia="SimSun"/>
          <w:sz w:val="22"/>
        </w:rPr>
        <w:t xml:space="preserve"> Where the GTE scale effect comes from. 36 injected passages, 48 queries, no defense, $\rho = 0.5\%$.</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Quantity</w:t>
            </w:r>
          </w:p>
        </w:tc>
        <w:tc>
          <w:tcPr>
            <w:tcW w:type="dxa" w:w="3213"/>
            <w:shd w:val="clear" w:color="auto" w:fill="DCE6F1"/>
          </w:tcPr>
          <w:p>
            <w:pPr>
              <w:spacing w:line="240" w:lineRule="auto" w:after="0"/>
            </w:pPr>
            <w:r>
              <w:rPr>
                <w:rFonts w:ascii="Times New Roman" w:hAnsi="Times New Roman" w:eastAsia="SimSun"/>
                <w:b/>
                <w:sz w:val="19"/>
              </w:rPr>
              <w:t>GTE-base</w:t>
            </w:r>
          </w:p>
        </w:tc>
        <w:tc>
          <w:tcPr>
            <w:tcW w:type="dxa" w:w="3213"/>
            <w:shd w:val="clear" w:color="auto" w:fill="DCE6F1"/>
          </w:tcPr>
          <w:p>
            <w:pPr>
              <w:spacing w:line="240" w:lineRule="auto" w:after="0"/>
            </w:pPr>
            <w:r>
              <w:rPr>
                <w:rFonts w:ascii="Times New Roman" w:hAnsi="Times New Roman" w:eastAsia="SimSun"/>
                <w:b/>
                <w:sz w:val="19"/>
              </w:rPr>
              <w:t>GTE-large</w:t>
            </w:r>
          </w:p>
        </w:tc>
      </w:tr>
      <w:tr>
        <w:tc>
          <w:tcPr>
            <w:tcW w:type="dxa" w:w="3213"/>
          </w:tcPr>
          <w:p>
            <w:pPr>
              <w:spacing w:line="240" w:lineRule="auto" w:after="0"/>
            </w:pPr>
            <w:r>
              <w:rPr>
                <w:rFonts w:ascii="Times New Roman" w:hAnsi="Times New Roman" w:eastAsia="SimSun"/>
                <w:sz w:val="19"/>
              </w:rPr>
              <w:t>mean cosine gain of poison over clean</w:t>
            </w:r>
          </w:p>
        </w:tc>
        <w:tc>
          <w:tcPr>
            <w:tcW w:type="dxa" w:w="3213"/>
          </w:tcPr>
          <w:p>
            <w:pPr>
              <w:spacing w:line="240" w:lineRule="auto" w:after="0"/>
            </w:pPr>
            <w:r>
              <w:rPr>
                <w:rFonts w:ascii="Times New Roman" w:hAnsi="Times New Roman" w:eastAsia="SimSun"/>
                <w:b/>
                <w:sz w:val="19"/>
              </w:rPr>
              <w:t>+0.0115</w:t>
            </w:r>
          </w:p>
        </w:tc>
        <w:tc>
          <w:tcPr>
            <w:tcW w:type="dxa" w:w="3213"/>
          </w:tcPr>
          <w:p>
            <w:pPr>
              <w:spacing w:line="240" w:lineRule="auto" w:after="0"/>
            </w:pPr>
            <w:r>
              <w:rPr>
                <w:rFonts w:ascii="Times New Roman" w:hAnsi="Times New Roman" w:eastAsia="SimSun"/>
                <w:b/>
                <w:sz w:val="19"/>
              </w:rPr>
              <w:t>+0.0200</w:t>
            </w:r>
          </w:p>
        </w:tc>
      </w:tr>
      <w:tr>
        <w:tc>
          <w:tcPr>
            <w:tcW w:type="dxa" w:w="3213"/>
          </w:tcPr>
          <w:p>
            <w:pPr>
              <w:spacing w:line="240" w:lineRule="auto" w:after="0"/>
            </w:pPr>
            <w:r>
              <w:rPr>
                <w:rFonts w:ascii="Times New Roman" w:hAnsi="Times New Roman" w:eastAsia="SimSun"/>
                <w:sz w:val="19"/>
              </w:rPr>
              <w:t>mean best-poison cosine</w:t>
            </w:r>
          </w:p>
        </w:tc>
        <w:tc>
          <w:tcPr>
            <w:tcW w:type="dxa" w:w="3213"/>
          </w:tcPr>
          <w:p>
            <w:pPr>
              <w:spacing w:line="240" w:lineRule="auto" w:after="0"/>
            </w:pPr>
            <w:r>
              <w:rPr>
                <w:rFonts w:ascii="Times New Roman" w:hAnsi="Times New Roman" w:eastAsia="SimSun"/>
                <w:sz w:val="19"/>
              </w:rPr>
              <w:t>0.8907</w:t>
            </w:r>
          </w:p>
        </w:tc>
        <w:tc>
          <w:tcPr>
            <w:tcW w:type="dxa" w:w="3213"/>
          </w:tcPr>
          <w:p>
            <w:pPr>
              <w:spacing w:line="240" w:lineRule="auto" w:after="0"/>
            </w:pPr>
            <w:r>
              <w:rPr>
                <w:rFonts w:ascii="Times New Roman" w:hAnsi="Times New Roman" w:eastAsia="SimSun"/>
                <w:sz w:val="19"/>
              </w:rPr>
              <w:t>0.8975</w:t>
            </w:r>
          </w:p>
        </w:tc>
      </w:tr>
      <w:tr>
        <w:tc>
          <w:tcPr>
            <w:tcW w:type="dxa" w:w="3213"/>
          </w:tcPr>
          <w:p>
            <w:pPr>
              <w:spacing w:line="240" w:lineRule="auto" w:after="0"/>
            </w:pPr>
            <w:r>
              <w:rPr>
                <w:rFonts w:ascii="Times New Roman" w:hAnsi="Times New Roman" w:eastAsia="SimSun"/>
                <w:sz w:val="19"/>
              </w:rPr>
              <w:t>mean top-5 clean threshold</w:t>
            </w:r>
          </w:p>
        </w:tc>
        <w:tc>
          <w:tcPr>
            <w:tcW w:type="dxa" w:w="3213"/>
          </w:tcPr>
          <w:p>
            <w:pPr>
              <w:spacing w:line="240" w:lineRule="auto" w:after="0"/>
            </w:pPr>
            <w:r>
              <w:rPr>
                <w:rFonts w:ascii="Times New Roman" w:hAnsi="Times New Roman" w:eastAsia="SimSun"/>
                <w:sz w:val="19"/>
              </w:rPr>
              <w:t>0.8982</w:t>
            </w:r>
          </w:p>
        </w:tc>
        <w:tc>
          <w:tcPr>
            <w:tcW w:type="dxa" w:w="3213"/>
          </w:tcPr>
          <w:p>
            <w:pPr>
              <w:spacing w:line="240" w:lineRule="auto" w:after="0"/>
            </w:pPr>
            <w:r>
              <w:rPr>
                <w:rFonts w:ascii="Times New Roman" w:hAnsi="Times New Roman" w:eastAsia="SimSun"/>
                <w:sz w:val="19"/>
              </w:rPr>
              <w:t>0.8988</w:t>
            </w:r>
          </w:p>
        </w:tc>
      </w:tr>
      <w:tr>
        <w:tc>
          <w:tcPr>
            <w:tcW w:type="dxa" w:w="3213"/>
          </w:tcPr>
          <w:p>
            <w:pPr>
              <w:spacing w:line="240" w:lineRule="auto" w:after="0"/>
            </w:pPr>
            <w:r>
              <w:rPr>
                <w:rFonts w:ascii="Times New Roman" w:hAnsi="Times New Roman" w:eastAsia="SimSun"/>
                <w:sz w:val="19"/>
              </w:rPr>
              <w:t>mean margin (best poison − threshold)</w:t>
            </w:r>
          </w:p>
        </w:tc>
        <w:tc>
          <w:tcPr>
            <w:tcW w:type="dxa" w:w="3213"/>
          </w:tcPr>
          <w:p>
            <w:pPr>
              <w:spacing w:line="240" w:lineRule="auto" w:after="0"/>
            </w:pPr>
            <w:r>
              <w:rPr>
                <w:rFonts w:ascii="Times New Roman" w:hAnsi="Times New Roman" w:eastAsia="SimSun"/>
                <w:b/>
                <w:sz w:val="19"/>
              </w:rPr>
              <w:t>−0.0075</w:t>
            </w:r>
          </w:p>
        </w:tc>
        <w:tc>
          <w:tcPr>
            <w:tcW w:type="dxa" w:w="3213"/>
          </w:tcPr>
          <w:p>
            <w:pPr>
              <w:spacing w:line="240" w:lineRule="auto" w:after="0"/>
            </w:pPr>
            <w:r>
              <w:rPr>
                <w:rFonts w:ascii="Times New Roman" w:hAnsi="Times New Roman" w:eastAsia="SimSun"/>
                <w:b/>
                <w:sz w:val="19"/>
              </w:rPr>
              <w:t>−0.0013</w:t>
            </w:r>
          </w:p>
        </w:tc>
      </w:tr>
      <w:tr>
        <w:tc>
          <w:tcPr>
            <w:tcW w:type="dxa" w:w="3213"/>
          </w:tcPr>
          <w:p>
            <w:pPr>
              <w:spacing w:line="240" w:lineRule="auto" w:after="0"/>
            </w:pPr>
            <w:r>
              <w:rPr>
                <w:rFonts w:ascii="Consolas" w:hAnsi="Consolas" w:eastAsia="Consolas"/>
                <w:sz w:val="18"/>
              </w:rPr>
              <w:t>poison@k</w:t>
            </w:r>
          </w:p>
        </w:tc>
        <w:tc>
          <w:tcPr>
            <w:tcW w:type="dxa" w:w="3213"/>
          </w:tcPr>
          <w:p>
            <w:pPr>
              <w:spacing w:line="240" w:lineRule="auto" w:after="0"/>
            </w:pPr>
            <w:r>
              <w:rPr>
                <w:rFonts w:ascii="Times New Roman" w:hAnsi="Times New Roman" w:eastAsia="SimSun"/>
                <w:sz w:val="19"/>
              </w:rPr>
              <w:t>0.0625</w:t>
            </w:r>
          </w:p>
        </w:tc>
        <w:tc>
          <w:tcPr>
            <w:tcW w:type="dxa" w:w="3213"/>
          </w:tcPr>
          <w:p>
            <w:pPr>
              <w:spacing w:line="240" w:lineRule="auto" w:after="0"/>
            </w:pPr>
            <w:r>
              <w:rPr>
                <w:rFonts w:ascii="Times New Roman" w:hAnsi="Times New Roman" w:eastAsia="SimSun"/>
                <w:sz w:val="19"/>
              </w:rPr>
              <w:t>0.5000</w:t>
            </w:r>
          </w:p>
        </w:tc>
      </w:tr>
    </w:tbl>
    <w:p/>
    <w:p>
      <w:r>
        <w:rPr>
          <w:rFonts w:ascii="Times New Roman" w:hAnsi="Times New Roman" w:eastAsia="SimSun"/>
          <w:sz w:val="22"/>
        </w:rPr>
        <w:t xml:space="preserve">The two encoders place the same injected text at almost the same distance from the query (0.8907 vs 0.8975), and the legitimate competition sits at the same threshold (0.8982 vs 0.8988). The difference is that </w:t>
      </w:r>
      <w:r>
        <w:rPr>
          <w:rFonts w:ascii="Times New Roman" w:hAnsi="Times New Roman" w:eastAsia="SimSun"/>
          <w:b/>
          <w:sz w:val="22"/>
        </w:rPr>
        <w:t>the identical appended vocabulary buys 74% more similarity on GTE-large (+0.0200 vs +0.0115)</w:t>
      </w:r>
      <w:r>
        <w:rPr>
          <w:rFonts w:ascii="Times New Roman" w:hAnsi="Times New Roman" w:eastAsia="SimSun"/>
          <w:sz w:val="22"/>
        </w:rPr>
        <w:t>. Because the mean margin is only about −0.007, a gain difference of +0.0085 carries a large fraction of queries across the threshold — exactly the 3-to-24 shift. Susceptibility is the interaction between the attack's vocabulary and the encoder's learned weighting of it, and none of the coarse descriptors we tried — architecture, dimensionality, size, geometry, sparsity — predicts it.</w:t>
      </w:r>
    </w:p>
    <w:p>
      <w:r>
        <w:rPr>
          <w:rFonts w:ascii="Times New Roman" w:hAnsi="Times New Roman" w:eastAsia="SimSun"/>
          <w:b/>
          <w:sz w:val="22"/>
        </w:rPr>
        <w:t>Table 11.</w:t>
      </w:r>
      <w:r>
        <w:rPr>
          <w:rFonts w:ascii="Times New Roman" w:hAnsi="Times New Roman" w:eastAsia="SimSun"/>
          <w:sz w:val="22"/>
        </w:rPr>
        <w:t xml:space="preserve"> R1-only constraint inertness across encoders and scales. </w:t>
      </w:r>
      <w:r>
        <w:rPr>
          <w:rFonts w:ascii="Consolas" w:hAnsi="Consolas" w:eastAsia="Consolas"/>
          <w:sz w:val="21"/>
        </w:rPr>
        <w:t>template_plus_projection</w:t>
      </w:r>
      <w:r>
        <w:rPr>
          <w:rFonts w:ascii="Times New Roman" w:hAnsi="Times New Roman" w:eastAsia="SimSun"/>
          <w:sz w:val="22"/>
        </w:rPr>
        <w:t>, $\rho = 0.5\%$; Δ = adversarial-passage inclusion minus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2409"/>
            <w:shd w:val="clear" w:color="auto" w:fill="DCE6F1"/>
          </w:tcPr>
          <w:p>
            <w:pPr>
              <w:spacing w:line="240" w:lineRule="auto" w:after="0"/>
            </w:pPr>
            <w:r>
              <w:rPr>
                <w:rFonts w:ascii="Times New Roman" w:hAnsi="Times New Roman" w:eastAsia="SimSun"/>
                <w:b/>
                <w:sz w:val="19"/>
              </w:rPr>
              <w:t>Δ</w:t>
            </w:r>
          </w:p>
        </w:tc>
      </w:tr>
      <w:tr>
        <w:tc>
          <w:tcPr>
            <w:tcW w:type="dxa" w:w="2409"/>
          </w:tcPr>
          <w:p>
            <w:pPr>
              <w:spacing w:line="240" w:lineRule="auto" w:after="0"/>
            </w:pPr>
            <w:r>
              <w:rPr>
                <w:rFonts w:ascii="Times New Roman" w:hAnsi="Times New Roman" w:eastAsia="SimSun"/>
                <w:sz w:val="19"/>
              </w:rPr>
              <w:t>BM25</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dense (hash)</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distil</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sz w:val="19"/>
              </w:rPr>
              <w:t>0.7500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SPLADE 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GTE-base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GTE-large</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E5-base-v2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r>
        <w:tc>
          <w:tcPr>
            <w:tcW w:type="dxa" w:w="2409"/>
          </w:tcPr>
          <w:p>
            <w:pPr>
              <w:spacing w:line="240" w:lineRule="auto" w:after="0"/>
            </w:pPr>
            <w:r>
              <w:rPr>
                <w:rFonts w:ascii="Times New Roman" w:hAnsi="Times New Roman" w:eastAsia="SimSun"/>
                <w:sz w:val="19"/>
              </w:rPr>
              <w:t>E5-large-v2</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sz w:val="19"/>
              </w:rPr>
              <w:t>1.0000</w:t>
            </w:r>
          </w:p>
        </w:tc>
        <w:tc>
          <w:tcPr>
            <w:tcW w:type="dxa" w:w="2409"/>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Finding 6b. The R1 constraint is inert across every encoder and at every scale tested.</w:t>
      </w:r>
      <w:r>
        <w:rPr>
          <w:rFonts w:ascii="Times New Roman" w:hAnsi="Times New Roman" w:eastAsia="SimSun"/>
          <w:sz w:val="22"/>
        </w:rPr>
        <w:t xml:space="preserve"> In all sixteen constrained configurations the difference is exactly zero. The projection attack reaches complete inclusion on seven of the eight, so the constraint is inert in the worst case rather than a marginal one. This is the third independent setting in which the inertness holds, after the two corpora and the injection-rate sweep.</w:t>
      </w:r>
    </w:p>
    <w:p>
      <w:pPr>
        <w:shd w:val="clear" w:color="auto" w:fill="DCE6F1"/>
        <w:spacing w:before="200" w:after="80"/>
      </w:pPr>
      <w:r>
        <w:rPr>
          <w:rFonts w:ascii="Times New Roman" w:hAnsi="Times New Roman" w:eastAsia="Microsoft YaHei"/>
          <w:b/>
          <w:sz w:val="26"/>
        </w:rPr>
        <w:t>5.6 Adaptive attacker: no defense survives an informed adversary</w:t>
      </w:r>
    </w:p>
    <w:p>
      <w:r>
        <w:rPr>
          <w:rFonts w:ascii="Times New Roman" w:hAnsi="Times New Roman" w:eastAsia="SimSun"/>
          <w:sz w:val="22"/>
        </w:rPr>
        <w:t xml:space="preserve">The inertness results above are measured against a </w:t>
      </w:r>
      <w:r>
        <w:rPr>
          <w:rFonts w:ascii="Times New Roman" w:hAnsi="Times New Roman" w:eastAsia="SimSun"/>
          <w:i/>
          <w:sz w:val="22"/>
        </w:rPr>
        <w:t>static</w:t>
      </w:r>
      <w:r>
        <w:rPr>
          <w:rFonts w:ascii="Times New Roman" w:hAnsi="Times New Roman" w:eastAsia="SimSun"/>
          <w:sz w:val="22"/>
        </w:rPr>
        <w:t xml:space="preserve"> attacker. The security literature's standard objection — and the reason adaptive evaluation is mandatory — is that a defense may hold against an attacker who does not know it and fail against one who does. It matters here for two independent reasons, both predicted by §6.5: our defenses are either randomised with public parameters or penalise an observable quantity.</w:t>
      </w:r>
    </w:p>
    <w:p>
      <w:r>
        <w:rPr>
          <w:rFonts w:ascii="Times New Roman" w:hAnsi="Times New Roman" w:eastAsia="SimSun"/>
          <w:sz w:val="22"/>
        </w:rPr>
        <w:t xml:space="preserve">For each defense the attacker is given the defense's own penalty function and searches over perturbation strength $\lambda$, using the same subspace-projection construction. We also report </w:t>
      </w:r>
      <w:r>
        <w:rPr>
          <w:rFonts w:ascii="Consolas" w:hAnsi="Consolas" w:eastAsia="Consolas"/>
          <w:sz w:val="21"/>
        </w:rPr>
        <w:t>usage</w:t>
      </w:r>
      <w:r>
        <w:rPr>
          <w:rFonts w:ascii="Times New Roman" w:hAnsi="Times New Roman" w:eastAsia="SimSun"/>
          <w:sz w:val="22"/>
        </w:rPr>
        <w:t>, the mean cosine similarity between each injected passage's perturbed and original embedding, so that a defense cannot be credited for the attacker's self-inflicted degradation: if the injected material were destroyed, low adversarial inclusion would be meaningless.</w:t>
      </w:r>
    </w:p>
    <w:p>
      <w:r>
        <w:rPr>
          <w:rFonts w:ascii="Times New Roman" w:hAnsi="Times New Roman" w:eastAsia="SimSun"/>
          <w:i/>
          <w:sz w:val="22"/>
        </w:rPr>
        <w:t>The per-λ grid is in Appendix C, Table C1.</w:t>
      </w:r>
    </w:p>
    <w:p>
      <w:r>
        <w:rPr>
          <w:rFonts w:ascii="Times New Roman" w:hAnsi="Times New Roman" w:eastAsia="SimSun"/>
          <w:sz w:val="22"/>
        </w:rPr>
        <w:t xml:space="preserve">Off-manifold filtering is by a wide margin the strongest statically — it reduces adversarial inclusion from 0.750 for no defense to 0.250, a factor of three — and </w:t>
      </w:r>
      <w:r>
        <w:rPr>
          <w:rFonts w:ascii="Times New Roman" w:hAnsi="Times New Roman" w:eastAsia="SimSun"/>
          <w:b/>
          <w:sz w:val="22"/>
        </w:rPr>
        <w:t>collapses monotonically to complete failure by $\lambda = 2$</w:t>
      </w:r>
      <w:r>
        <w:rPr>
          <w:rFonts w:ascii="Times New Roman" w:hAnsi="Times New Roman" w:eastAsia="SimSun"/>
          <w:sz w:val="22"/>
        </w:rPr>
        <w:t xml:space="preserve">. Its static advantage is exactly what §6.5's Corollary 2 predicts: the defense penalises vectors that leave the corpus manifold, which is precisely where the projection perturbation places them, so once the attacker trades perturbation strength against penalty, the penalty becomes the attacker's constraint. The two composition-constrained defenses, which never beat 0.625 even statically, saturate by $\lambda = 0.5$. </w:t>
      </w:r>
      <w:r>
        <w:rPr>
          <w:rFonts w:ascii="Times New Roman" w:hAnsi="Times New Roman" w:eastAsia="SimSun"/>
          <w:b/>
          <w:sz w:val="22"/>
        </w:rPr>
        <w:t>The static ranking of defenses inverts under adaptation, and a defense selected on its static advantage is defeated as comprehensively as one selected on structural grounds.</w:t>
      </w:r>
    </w:p>
    <w:p>
      <w:r>
        <w:rPr>
          <w:rFonts w:ascii="Times New Roman" w:hAnsi="Times New Roman" w:eastAsia="SimSun"/>
          <w:b/>
          <w:sz w:val="22"/>
        </w:rPr>
        <w:t>The attacker pays almost nothing for this.</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stays at 0.945–0.979 through $\lambda = 1$ and 0.883 at $\lambda = 2$. At the point where the strongest defense has already lost most of its advantage, the injected material is over 94% semantically intact. The collapse therefore cannot be attributed to the attack degrading its own passages.</w:t>
      </w:r>
    </w:p>
    <w:p>
      <w:r>
        <w:rPr>
          <w:rFonts w:ascii="Times New Roman" w:hAnsi="Times New Roman" w:eastAsia="SimSun"/>
          <w:b/>
          <w:sz w:val="22"/>
        </w:rPr>
        <w:t>Correction.</w:t>
      </w:r>
      <w:r>
        <w:rPr>
          <w:rFonts w:ascii="Times New Roman" w:hAnsi="Times New Roman" w:eastAsia="SimSun"/>
          <w:sz w:val="22"/>
        </w:rPr>
        <w:t xml:space="preserve"> An earlier draft reported 0.125 / 0.438 / 0.750 for off-manifold filtering and described its static advantage as a factor of six over no defense. Those values came from an exploratory run written to a scratch directory excluded from version control, not from the run that produces every other number in this paper; re-running the committed configuration reproduces Table C1 with 18 of 18 adaptive cells bit-identical. The qualitative conclusion is unchanged, but the static advantage is a factor of three, not six. We record it rather than silently overwriting, because a robustness factor is the kind of number a reader may quote.</w:t>
      </w:r>
    </w:p>
    <w:p>
      <w:pPr>
        <w:shd w:val="clear" w:color="auto" w:fill="DCE6F1"/>
        <w:spacing w:before="200" w:after="80"/>
      </w:pPr>
      <w:r>
        <w:rPr>
          <w:rFonts w:ascii="Times New Roman" w:hAnsi="Times New Roman" w:eastAsia="Microsoft YaHei"/>
          <w:b/>
          <w:sz w:val="26"/>
        </w:rPr>
        <w:t>5.7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sz w:val="22"/>
        </w:rPr>
        <w:t>Read Table C2 and Table 11 together: the same experiment, on the same corpus at the same injection rate, yields a 46% rise in the absolute gap under one instrument and a rise of 0.0008–0.0018 under the other. We keep both because that discrepancy is itself the finding.</w:t>
      </w:r>
    </w:p>
    <w:p>
      <w:r>
        <w:rPr>
          <w:rFonts w:ascii="Times New Roman" w:hAnsi="Times New Roman" w:eastAsia="SimSun"/>
          <w:b/>
          <w:sz w:val="22"/>
        </w:rPr>
        <w:t>Finding 8. On the controlled corpus the retrieval-layer skew propagates to the generated output and replicates across three model families, but it does not survive a naturally written corpus.</w:t>
      </w:r>
      <w:r>
        <w:rPr>
          <w:rFonts w:ascii="Times New Roman" w:hAnsi="Times New Roman" w:eastAsia="SimSun"/>
          <w:sz w:val="22"/>
        </w:rPr>
        <w:t xml:space="preserve"> We re-ran this evaluation with a continuous, entailment-based stance metric (a local NLI model scoring </w:t>
      </w:r>
      <w:r>
        <w:rPr>
          <w:rFonts w:ascii="Consolas" w:hAnsi="Consolas" w:eastAsia="Consolas"/>
          <w:sz w:val="21"/>
        </w:rPr>
        <w:t>P(entail | answer, favourable) − P(entail | answer, unfavourable)</w:t>
      </w:r>
      <w:r>
        <w:rPr>
          <w:rFonts w:ascii="Times New Roman" w:hAnsi="Times New Roman" w:eastAsia="SimSun"/>
          <w:sz w:val="22"/>
        </w:rPr>
        <w:t>, calibrated in §5.7.1) across four generators spanning three model families, one of them (Mistral-7B) open-weight and served locally rather than by an API, so that the result does not rest on hosted models alone. The per-group shifts are large, consistent in sign, and highly significant everywhere:</w:t>
      </w:r>
    </w:p>
    <w:p>
      <w:r>
        <w:rPr>
          <w:rFonts w:ascii="Times New Roman" w:hAnsi="Times New Roman" w:eastAsia="SimSun"/>
          <w:b/>
          <w:sz w:val="22"/>
        </w:rPr>
        <w:t>Table 12.</w:t>
      </w:r>
      <w:r>
        <w:rPr>
          <w:rFonts w:ascii="Times New Roman" w:hAnsi="Times New Roman" w:eastAsia="SimSun"/>
          <w:sz w:val="22"/>
        </w:rPr>
        <w:t xml:space="preserve"> Generation-layer stance, entailment-scored, four generators spanning three model families. Controlled corpus, GTE-base retrieval, $\rho = 2\%$, 48 queries, paired permutation test against </w:t>
      </w:r>
      <w:r>
        <w:rPr>
          <w:rFonts w:ascii="Consolas" w:hAnsi="Consolas" w:eastAsia="Consolas"/>
          <w:sz w:val="21"/>
        </w:rPr>
        <w:t>clean</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Generator</w:t>
            </w:r>
          </w:p>
        </w:tc>
        <w:tc>
          <w:tcPr>
            <w:tcW w:type="dxa" w:w="1377"/>
            <w:shd w:val="clear" w:color="auto" w:fill="DCE6F1"/>
          </w:tcPr>
          <w:p>
            <w:pPr>
              <w:spacing w:line="240" w:lineRule="auto" w:after="0"/>
            </w:pPr>
            <w:r>
              <w:rPr>
                <w:rFonts w:ascii="Times New Roman" w:hAnsi="Times New Roman" w:eastAsia="SimSun"/>
                <w:b/>
                <w:sz w:val="19"/>
              </w:rPr>
              <w:t>Δ gap (absolute)</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1</w:t>
            </w:r>
          </w:p>
        </w:tc>
        <w:tc>
          <w:tcPr>
            <w:tcW w:type="dxa" w:w="1377"/>
            <w:shd w:val="clear" w:color="auto" w:fill="DCE6F1"/>
          </w:tcPr>
          <w:p>
            <w:pPr>
              <w:spacing w:line="240" w:lineRule="auto" w:after="0"/>
            </w:pPr>
            <w:r>
              <w:rPr>
                <w:rFonts w:ascii="Times New Roman" w:hAnsi="Times New Roman" w:eastAsia="SimSun"/>
                <w:b/>
                <w:sz w:val="19"/>
              </w:rPr>
              <w:t>p</w:t>
            </w:r>
          </w:p>
        </w:tc>
        <w:tc>
          <w:tcPr>
            <w:tcW w:type="dxa" w:w="1377"/>
            <w:shd w:val="clear" w:color="auto" w:fill="DCE6F1"/>
          </w:tcPr>
          <w:p>
            <w:pPr>
              <w:spacing w:line="240" w:lineRule="auto" w:after="0"/>
            </w:pPr>
            <w:r>
              <w:rPr>
                <w:rFonts w:ascii="Times New Roman" w:hAnsi="Times New Roman" w:eastAsia="SimSun"/>
                <w:b/>
                <w:sz w:val="19"/>
              </w:rPr>
              <w:t>Δ group 2</w:t>
            </w:r>
          </w:p>
        </w:tc>
        <w:tc>
          <w:tcPr>
            <w:tcW w:type="dxa" w:w="1377"/>
            <w:shd w:val="clear" w:color="auto" w:fill="DCE6F1"/>
          </w:tcPr>
          <w:p>
            <w:pPr>
              <w:spacing w:line="240" w:lineRule="auto" w:after="0"/>
            </w:pPr>
            <w:r>
              <w:rPr>
                <w:rFonts w:ascii="Times New Roman" w:hAnsi="Times New Roman" w:eastAsia="SimSun"/>
                <w:b/>
                <w:sz w:val="19"/>
              </w:rPr>
              <w:t>p</w:t>
            </w:r>
          </w:p>
        </w:tc>
      </w:tr>
      <w:tr>
        <w:tc>
          <w:tcPr>
            <w:tcW w:type="dxa" w:w="1377"/>
          </w:tcPr>
          <w:p>
            <w:pPr>
              <w:spacing w:line="240" w:lineRule="auto" w:after="0"/>
            </w:pPr>
            <w:r>
              <w:rPr>
                <w:rFonts w:ascii="Times New Roman" w:hAnsi="Times New Roman" w:eastAsia="SimSun"/>
                <w:sz w:val="19"/>
              </w:rPr>
              <w:t>qwen-turbo</w:t>
            </w:r>
          </w:p>
        </w:tc>
        <w:tc>
          <w:tcPr>
            <w:tcW w:type="dxa" w:w="1377"/>
          </w:tcPr>
          <w:p>
            <w:pPr>
              <w:spacing w:line="240" w:lineRule="auto" w:after="0"/>
            </w:pPr>
            <w:r>
              <w:rPr>
                <w:rFonts w:ascii="Times New Roman" w:hAnsi="Times New Roman" w:eastAsia="SimSun"/>
                <w:sz w:val="19"/>
              </w:rPr>
              <w:t>+0.0008</w:t>
            </w:r>
          </w:p>
        </w:tc>
        <w:tc>
          <w:tcPr>
            <w:tcW w:type="dxa" w:w="1377"/>
          </w:tcPr>
          <w:p>
            <w:pPr>
              <w:spacing w:line="240" w:lineRule="auto" w:after="0"/>
            </w:pPr>
            <w:r>
              <w:rPr>
                <w:rFonts w:ascii="Times New Roman" w:hAnsi="Times New Roman" w:eastAsia="SimSun"/>
                <w:sz w:val="19"/>
              </w:rPr>
              <w:t>0.32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&lt;0.0001</w:t>
            </w:r>
          </w:p>
        </w:tc>
        <w:tc>
          <w:tcPr>
            <w:tcW w:type="dxa" w:w="1377"/>
          </w:tcPr>
          <w:p>
            <w:pPr>
              <w:spacing w:line="240" w:lineRule="auto" w:after="0"/>
            </w:pPr>
            <w:r>
              <w:rPr>
                <w:rFonts w:ascii="Times New Roman" w:hAnsi="Times New Roman" w:eastAsia="SimSun"/>
                <w:b/>
                <w:sz w:val="19"/>
              </w:rPr>
              <w:t>+0.1305</w:t>
            </w:r>
          </w:p>
        </w:tc>
        <w:tc>
          <w:tcPr>
            <w:tcW w:type="dxa" w:w="1377"/>
          </w:tcPr>
          <w:p>
            <w:pPr>
              <w:spacing w:line="240" w:lineRule="auto" w:after="0"/>
            </w:pPr>
            <w:r>
              <w:rPr>
                <w:rFonts w:ascii="Times New Roman" w:hAnsi="Times New Roman" w:eastAsia="SimSun"/>
                <w:b/>
                <w:sz w:val="19"/>
              </w:rPr>
              <w:t>&lt;0.0001</w:t>
            </w:r>
          </w:p>
        </w:tc>
      </w:tr>
      <w:tr>
        <w:tc>
          <w:tcPr>
            <w:tcW w:type="dxa" w:w="1377"/>
          </w:tcPr>
          <w:p>
            <w:pPr>
              <w:spacing w:line="240" w:lineRule="auto" w:after="0"/>
            </w:pPr>
            <w:r>
              <w:rPr>
                <w:rFonts w:ascii="Times New Roman" w:hAnsi="Times New Roman" w:eastAsia="SimSun"/>
                <w:sz w:val="19"/>
              </w:rPr>
              <w:t>qwen-plus</w:t>
            </w:r>
          </w:p>
        </w:tc>
        <w:tc>
          <w:tcPr>
            <w:tcW w:type="dxa" w:w="1377"/>
          </w:tcPr>
          <w:p>
            <w:pPr>
              <w:spacing w:line="240" w:lineRule="auto" w:after="0"/>
            </w:pPr>
            <w:r>
              <w:rPr>
                <w:rFonts w:ascii="Times New Roman" w:hAnsi="Times New Roman" w:eastAsia="SimSun"/>
                <w:sz w:val="19"/>
              </w:rPr>
              <w:t>+0.0018</w:t>
            </w:r>
          </w:p>
        </w:tc>
        <w:tc>
          <w:tcPr>
            <w:tcW w:type="dxa" w:w="1377"/>
          </w:tcPr>
          <w:p>
            <w:pPr>
              <w:spacing w:line="240" w:lineRule="auto" w:after="0"/>
            </w:pPr>
            <w:r>
              <w:rPr>
                <w:rFonts w:ascii="Times New Roman" w:hAnsi="Times New Roman" w:eastAsia="SimSun"/>
                <w:sz w:val="19"/>
              </w:rPr>
              <w:t>0.042</w:t>
            </w:r>
          </w:p>
        </w:tc>
        <w:tc>
          <w:tcPr>
            <w:tcW w:type="dxa" w:w="1377"/>
          </w:tcPr>
          <w:p>
            <w:pPr>
              <w:spacing w:line="240" w:lineRule="auto" w:after="0"/>
            </w:pPr>
            <w:r>
              <w:rPr>
                <w:rFonts w:ascii="Times New Roman" w:hAnsi="Times New Roman" w:eastAsia="SimSun"/>
                <w:b/>
                <w:sz w:val="19"/>
              </w:rPr>
              <w:t>−0.1280</w:t>
            </w:r>
          </w:p>
        </w:tc>
        <w:tc>
          <w:tcPr>
            <w:tcW w:type="dxa" w:w="1377"/>
          </w:tcPr>
          <w:p>
            <w:pPr>
              <w:spacing w:line="240" w:lineRule="auto" w:after="0"/>
            </w:pPr>
            <w:r>
              <w:rPr>
                <w:rFonts w:ascii="Times New Roman" w:hAnsi="Times New Roman" w:eastAsia="SimSun"/>
                <w:b/>
                <w:sz w:val="19"/>
              </w:rPr>
              <w:t>0.0035</w:t>
            </w:r>
          </w:p>
        </w:tc>
        <w:tc>
          <w:tcPr>
            <w:tcW w:type="dxa" w:w="1377"/>
          </w:tcPr>
          <w:p>
            <w:pPr>
              <w:spacing w:line="240" w:lineRule="auto" w:after="0"/>
            </w:pPr>
            <w:r>
              <w:rPr>
                <w:rFonts w:ascii="Times New Roman" w:hAnsi="Times New Roman" w:eastAsia="SimSun"/>
                <w:b/>
                <w:sz w:val="19"/>
              </w:rPr>
              <w:t>+0.1298</w:t>
            </w:r>
          </w:p>
        </w:tc>
        <w:tc>
          <w:tcPr>
            <w:tcW w:type="dxa" w:w="1377"/>
          </w:tcPr>
          <w:p>
            <w:pPr>
              <w:spacing w:line="240" w:lineRule="auto" w:after="0"/>
            </w:pPr>
            <w:r>
              <w:rPr>
                <w:rFonts w:ascii="Times New Roman" w:hAnsi="Times New Roman" w:eastAsia="SimSun"/>
                <w:b/>
                <w:sz w:val="19"/>
              </w:rPr>
              <w:t>0.0015</w:t>
            </w:r>
          </w:p>
        </w:tc>
      </w:tr>
      <w:tr>
        <w:tc>
          <w:tcPr>
            <w:tcW w:type="dxa" w:w="1377"/>
          </w:tcPr>
          <w:p>
            <w:pPr>
              <w:spacing w:line="240" w:lineRule="auto" w:after="0"/>
            </w:pPr>
            <w:r>
              <w:rPr>
                <w:rFonts w:ascii="Times New Roman" w:hAnsi="Times New Roman" w:eastAsia="SimSun"/>
                <w:sz w:val="19"/>
              </w:rPr>
              <w:t>qwen-max</w:t>
            </w:r>
          </w:p>
        </w:tc>
        <w:tc>
          <w:tcPr>
            <w:tcW w:type="dxa" w:w="1377"/>
          </w:tcPr>
          <w:p>
            <w:pPr>
              <w:spacing w:line="240" w:lineRule="auto" w:after="0"/>
            </w:pPr>
            <w:r>
              <w:rPr>
                <w:rFonts w:ascii="Times New Roman" w:hAnsi="Times New Roman" w:eastAsia="SimSun"/>
                <w:sz w:val="19"/>
              </w:rPr>
              <w:t>−0.0491</w:t>
            </w:r>
          </w:p>
        </w:tc>
        <w:tc>
          <w:tcPr>
            <w:tcW w:type="dxa" w:w="1377"/>
          </w:tcPr>
          <w:p>
            <w:pPr>
              <w:spacing w:line="240" w:lineRule="auto" w:after="0"/>
            </w:pPr>
            <w:r>
              <w:rPr>
                <w:rFonts w:ascii="Times New Roman" w:hAnsi="Times New Roman" w:eastAsia="SimSun"/>
                <w:sz w:val="19"/>
              </w:rPr>
              <w:t>0.18</w:t>
            </w:r>
          </w:p>
        </w:tc>
        <w:tc>
          <w:tcPr>
            <w:tcW w:type="dxa" w:w="1377"/>
          </w:tcPr>
          <w:p>
            <w:pPr>
              <w:spacing w:line="240" w:lineRule="auto" w:after="0"/>
            </w:pPr>
            <w:r>
              <w:rPr>
                <w:rFonts w:ascii="Times New Roman" w:hAnsi="Times New Roman" w:eastAsia="SimSun"/>
                <w:b/>
                <w:sz w:val="19"/>
              </w:rPr>
              <w:t>−0.1785</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+0.1294</w:t>
            </w:r>
          </w:p>
        </w:tc>
        <w:tc>
          <w:tcPr>
            <w:tcW w:type="dxa" w:w="1377"/>
          </w:tcPr>
          <w:p>
            <w:pPr>
              <w:spacing w:line="240" w:lineRule="auto" w:after="0"/>
            </w:pPr>
            <w:r>
              <w:rPr>
                <w:rFonts w:ascii="Times New Roman" w:hAnsi="Times New Roman" w:eastAsia="SimSun"/>
                <w:b/>
                <w:sz w:val="19"/>
              </w:rPr>
              <w:t>0.0029</w:t>
            </w:r>
          </w:p>
        </w:tc>
      </w:tr>
      <w:tr>
        <w:tc>
          <w:tcPr>
            <w:tcW w:type="dxa" w:w="1377"/>
          </w:tcPr>
          <w:p>
            <w:pPr>
              <w:spacing w:line="240" w:lineRule="auto" w:after="0"/>
            </w:pPr>
            <w:r>
              <w:rPr>
                <w:rFonts w:ascii="Times New Roman" w:hAnsi="Times New Roman" w:eastAsia="SimSun"/>
                <w:b/>
                <w:sz w:val="19"/>
              </w:rPr>
              <w:t>mistral-7b</w:t>
            </w:r>
            <w:r>
              <w:rPr>
                <w:rFonts w:ascii="Times New Roman" w:hAnsi="Times New Roman" w:eastAsia="SimSun"/>
                <w:sz w:val="19"/>
              </w:rPr>
              <w:t xml:space="preserve"> (local, open weights)</w:t>
            </w:r>
          </w:p>
        </w:tc>
        <w:tc>
          <w:tcPr>
            <w:tcW w:type="dxa" w:w="1377"/>
          </w:tcPr>
          <w:p>
            <w:pPr>
              <w:spacing w:line="240" w:lineRule="auto" w:after="0"/>
            </w:pPr>
            <w:r>
              <w:rPr>
                <w:rFonts w:ascii="Times New Roman" w:hAnsi="Times New Roman" w:eastAsia="SimSun"/>
                <w:sz w:val="19"/>
              </w:rPr>
              <w:t>+0.0025</w:t>
            </w:r>
          </w:p>
        </w:tc>
        <w:tc>
          <w:tcPr>
            <w:tcW w:type="dxa" w:w="1377"/>
          </w:tcPr>
          <w:p>
            <w:pPr>
              <w:spacing w:line="240" w:lineRule="auto" w:after="0"/>
            </w:pPr>
            <w:r>
              <w:rPr>
                <w:rFonts w:ascii="Times New Roman" w:hAnsi="Times New Roman" w:eastAsia="SimSun"/>
                <w:sz w:val="19"/>
              </w:rPr>
              <w:t>0.42</w:t>
            </w:r>
          </w:p>
        </w:tc>
        <w:tc>
          <w:tcPr>
            <w:tcW w:type="dxa" w:w="1377"/>
          </w:tcPr>
          <w:p>
            <w:pPr>
              <w:spacing w:line="240" w:lineRule="auto" w:after="0"/>
            </w:pPr>
            <w:r>
              <w:rPr>
                <w:rFonts w:ascii="Times New Roman" w:hAnsi="Times New Roman" w:eastAsia="SimSun"/>
                <w:b/>
                <w:sz w:val="19"/>
              </w:rPr>
              <w:t>−0.1297</w:t>
            </w:r>
          </w:p>
        </w:tc>
        <w:tc>
          <w:tcPr>
            <w:tcW w:type="dxa" w:w="1377"/>
          </w:tcPr>
          <w:p>
            <w:pPr>
              <w:spacing w:line="240" w:lineRule="auto" w:after="0"/>
            </w:pPr>
            <w:r>
              <w:rPr>
                <w:rFonts w:ascii="Times New Roman" w:hAnsi="Times New Roman" w:eastAsia="SimSun"/>
                <w:b/>
                <w:sz w:val="19"/>
              </w:rPr>
              <w:t>0.0001</w:t>
            </w:r>
          </w:p>
        </w:tc>
        <w:tc>
          <w:tcPr>
            <w:tcW w:type="dxa" w:w="1377"/>
          </w:tcPr>
          <w:p>
            <w:pPr>
              <w:spacing w:line="240" w:lineRule="auto" w:after="0"/>
            </w:pPr>
            <w:r>
              <w:rPr>
                <w:rFonts w:ascii="Times New Roman" w:hAnsi="Times New Roman" w:eastAsia="SimSun"/>
                <w:b/>
                <w:sz w:val="19"/>
              </w:rPr>
              <w:t>+0.1322</w:t>
            </w:r>
          </w:p>
        </w:tc>
        <w:tc>
          <w:tcPr>
            <w:tcW w:type="dxa" w:w="1377"/>
          </w:tcPr>
          <w:p>
            <w:pPr>
              <w:spacing w:line="240" w:lineRule="auto" w:after="0"/>
            </w:pPr>
            <w:r>
              <w:rPr>
                <w:rFonts w:ascii="Times New Roman" w:hAnsi="Times New Roman" w:eastAsia="SimSun"/>
                <w:b/>
                <w:sz w:val="19"/>
              </w:rPr>
              <w:t>&lt;0.0001</w:t>
            </w:r>
          </w:p>
        </w:tc>
      </w:tr>
    </w:tbl>
    <w:p/>
    <w:p>
      <w:pPr>
        <w:jc w:val="center"/>
      </w:pPr>
      <w:r>
        <w:drawing>
          <wp:inline xmlns:a="http://schemas.openxmlformats.org/drawingml/2006/main" xmlns:pic="http://schemas.openxmlformats.org/drawingml/2006/picture">
            <wp:extent cx="5040000" cy="1799891"/>
            <wp:docPr id="4" name="Picture 4"/>
            <wp:cNvGraphicFramePr>
              <a:graphicFrameLocks noChangeAspect="1"/>
            </wp:cNvGraphicFramePr>
            <a:graphic>
              <a:graphicData uri="http://schemas.openxmlformats.org/drawingml/2006/picture">
                <pic:pic>
                  <pic:nvPicPr>
                    <pic:cNvPr id="0" name="fig_aggregate_vs_pergroup.png"/>
                    <pic:cNvPicPr/>
                  </pic:nvPicPr>
                  <pic:blipFill>
                    <a:blip r:embed="rId12"/>
                    <a:stretch>
                      <a:fillRect/>
                    </a:stretch>
                  </pic:blipFill>
                  <pic:spPr>
                    <a:xfrm>
                      <a:off x="0" y="0"/>
                      <a:ext cx="5040000" cy="1799891"/>
                    </a:xfrm>
                    <a:prstGeom prst="rect"/>
                  </pic:spPr>
                </pic:pic>
              </a:graphicData>
            </a:graphic>
          </wp:inline>
        </w:drawing>
      </w:r>
    </w:p>
    <w:p>
      <w:pPr>
        <w:jc w:val="center"/>
      </w:pPr>
      <w:r>
        <w:rPr>
          <w:i/>
          <w:sz w:val="17"/>
        </w:rPr>
        <w:t>The aggregate statistic against the per-group shifts, on the same retrieval conditions and the same queries. Left: the change in the absolute cross-group gap, which stays within $\pm 0.05$ because the attack relocates both groups rather than separating them. Right: the change in each group's stance separately, which is large, consistent in sign and significant for every generator. An asterisk marks $p&lt;0.05$ under a paired permutation test against the clean condition. Note that the two panels use different vertical scales: the aggregate moves by less than 0.002 where the groups move by about 0.13.</w:t>
      </w:r>
    </w:p>
    <w:p>
      <w:r>
        <w:rPr>
          <w:rFonts w:ascii="Times New Roman" w:hAnsi="Times New Roman" w:eastAsia="SimSun"/>
          <w:b/>
          <w:sz w:val="22"/>
        </w:rPr>
        <w:t>The absolute cross-group gap — the metric we originally used — is blind to this effect, and we had reproduced one level up the exact error we criticise in §5.3.</w:t>
      </w:r>
      <w:r>
        <w:rPr>
          <w:rFonts w:ascii="Times New Roman" w:hAnsi="Times New Roman" w:eastAsia="SimSun"/>
          <w:sz w:val="22"/>
        </w:rPr>
        <w:t xml:space="preserve"> Under injection group 1's stance collapses (−0.13 to −0.18) while group 2's rises (+0.13), in every generator, at p ≤ 0.0035. Because the corpus carries a pre-existing stance asymmetry, </w:t>
      </w:r>
      <w:r>
        <w:rPr>
          <w:rFonts w:ascii="Consolas" w:hAnsi="Consolas" w:eastAsia="Consolas"/>
          <w:sz w:val="21"/>
        </w:rPr>
        <w:t>|stance(g1) − stance(g2)|</w:t>
      </w:r>
      <w:r>
        <w:rPr>
          <w:rFonts w:ascii="Times New Roman" w:hAnsi="Times New Roman" w:eastAsia="SimSun"/>
          <w:sz w:val="22"/>
        </w:rPr>
        <w:t xml:space="preserve"> moves by less than 0.002 for two of the three generators and by −0.05 (the wrong sign) for the third. Taking an absolute difference between two groups destroys precisely the signal, for the same reason it does at the retrieval layer: the attack does not make the system uniformly more skewed, it suppresses one group and elevates the other, and the gap between them is dominated by a corpus-level constant that the attack does not touch.</w:t>
      </w:r>
    </w:p>
    <w:p>
      <w:r>
        <w:rPr>
          <w:rFonts w:ascii="Times New Roman" w:hAnsi="Times New Roman" w:eastAsia="SimSun"/>
          <w:sz w:val="22"/>
        </w:rPr>
        <w:t xml:space="preserve">This vindicates the qualitative claim in Finding 9 — the skew saturates one group rather than shifting everything — while changing the evidence for it. Findings 8 and 9 as originally stated rested on a forced-choice probe whose original numbers (gap 0.2708 → 0.3958, a 46% rise) do </w:t>
      </w:r>
      <w:r>
        <w:rPr>
          <w:rFonts w:ascii="Times New Roman" w:hAnsi="Times New Roman" w:eastAsia="SimSun"/>
          <w:b/>
          <w:sz w:val="22"/>
        </w:rPr>
        <w:t>not</w:t>
      </w:r>
      <w:r>
        <w:rPr>
          <w:rFonts w:ascii="Times New Roman" w:hAnsi="Times New Roman" w:eastAsia="SimSun"/>
          <w:sz w:val="22"/>
        </w:rPr>
        <w:t xml:space="preserve"> reproduce under entailment scoring: the gap delta is +0.0008 / +0.0018 / −0.0491 across the three generators. The forced-choice probe is not wrong so much as compressed: it forces a binary selection between two maximally opposed statements, which pushes both groups' rates toward ceiling (the original table showed group 2 at 0.979 → 1.000), whereas a continuous entailment score can register the collapse of the suppressed group at 0.132 → 0.002, which is the larger and more consistent effect. </w:t>
      </w:r>
      <w:r>
        <w:rPr>
          <w:rFonts w:ascii="Times New Roman" w:hAnsi="Times New Roman" w:eastAsia="SimSun"/>
          <w:b/>
          <w:sz w:val="22"/>
        </w:rPr>
        <w:t>We therefore report the per-group entailment shifts as the primary generation-layer evidence, and we demote the absolute gap to a control that fails.</w:t>
      </w:r>
    </w:p>
    <w:p>
      <w:r>
        <w:rPr>
          <w:rFonts w:ascii="Times New Roman" w:hAnsi="Times New Roman" w:eastAsia="SimSun"/>
          <w:b/>
          <w:sz w:val="22"/>
        </w:rPr>
        <w:t>Finding 9. The skew does not appear as a uniform shift; it suppresses one group and elevates the other.</w:t>
      </w:r>
      <w:r>
        <w:rPr>
          <w:rFonts w:ascii="Times New Roman" w:hAnsi="Times New Roman" w:eastAsia="SimSun"/>
          <w:sz w:val="22"/>
        </w:rPr>
        <w:t xml:space="preserve"> Under injection the suppressed group's stance falls by 0.13–0.18 and the favoured group's rises by 0.13, in all three generators. The magnitude of the two shifts is nearly equal, which is why the absolute difference between them is nearly unchanged: the attack relocates both groups rather than opening a gap between them. This is visible only because we measure the two groups separately, and it is the generation-layer counterpart of the R1/R2 distinction the paper is built on.</w:t>
      </w:r>
    </w:p>
    <w:p>
      <w:r>
        <w:rPr>
          <w:rFonts w:ascii="Times New Roman" w:hAnsi="Times New Roman" w:eastAsia="SimSun"/>
          <w:b/>
          <w:sz w:val="22"/>
        </w:rPr>
        <w:t>Finding 10. Neither constraint improves the generation layer.</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both per-group shifts identical to no defence to four decimal places (Δg1 = −0.1297, Δg2 = +0.1305 for qwen-turbo, identical values), and </w:t>
      </w:r>
      <w:r>
        <w:rPr>
          <w:rFonts w:ascii="Consolas" w:hAnsi="Consolas" w:eastAsia="Consolas"/>
          <w:sz w:val="21"/>
        </w:rPr>
        <w:t>r2both</w:t>
      </w:r>
      <w:r>
        <w:rPr>
          <w:rFonts w:ascii="Times New Roman" w:hAnsi="Times New Roman" w:eastAsia="SimSun"/>
          <w:sz w:val="22"/>
        </w:rPr>
        <w:t xml:space="preserve"> moves them by less than 0.002. This is consistent with the retrieval-layer result: the input to the generator is unchanged, so the output is unchanged. </w:t>
      </w:r>
      <w:r>
        <w:rPr>
          <w:rFonts w:ascii="Times New Roman" w:hAnsi="Times New Roman" w:eastAsia="SimSun"/>
          <w:b/>
          <w:sz w:val="22"/>
        </w:rPr>
        <w:t>The constraints we proposed, evaluated here, do not repair the downstream harm.</w:t>
      </w:r>
    </w:p>
    <w:p>
      <w:r>
        <w:rPr>
          <w:rFonts w:ascii="Times New Roman" w:hAnsi="Times New Roman" w:eastAsia="SimSun"/>
          <w:b/>
          <w:sz w:val="22"/>
        </w:rPr>
        <w:t>5.7.1 Why the natural corpus appeared to show nothing: the probe, not the corpus.</w:t>
      </w:r>
      <w:r>
        <w:rPr>
          <w:rFonts w:ascii="Times New Roman" w:hAnsi="Times New Roman" w:eastAsia="SimSun"/>
          <w:sz w:val="22"/>
        </w:rPr>
        <w:t xml:space="preserve"> The free-form measurement above is valid only where answers actually take a position, and on a naturally written corpus they largely do not. Measuring the </w:t>
      </w:r>
      <w:r>
        <w:rPr>
          <w:rFonts w:ascii="Times New Roman" w:hAnsi="Times New Roman" w:eastAsia="SimSun"/>
          <w:i/>
          <w:sz w:val="22"/>
        </w:rPr>
        <w:t>commitment</w:t>
      </w:r>
      <w:r>
        <w:rPr>
          <w:rFonts w:ascii="Times New Roman" w:hAnsi="Times New Roman" w:eastAsia="SimSun"/>
          <w:sz w:val="22"/>
        </w:rPr>
        <w:t xml:space="preserve"> of each answer — the larger of its two entailment probabilities, </w:t>
      </w:r>
      <w:r>
        <w:rPr>
          <w:rFonts w:ascii="Consolas" w:hAnsi="Consolas" w:eastAsia="Consolas"/>
          <w:sz w:val="21"/>
        </w:rPr>
        <w:t>max(P(fav), P(unfav))</w:t>
      </w:r>
      <w:r>
        <w:rPr>
          <w:rFonts w:ascii="Times New Roman" w:hAnsi="Times New Roman" w:eastAsia="SimSun"/>
          <w:sz w:val="22"/>
        </w:rPr>
        <w:t xml:space="preserve"> — separates a real null from an instrument that cannot register anything:</w:t>
      </w:r>
    </w:p>
    <w:p>
      <w:r>
        <w:rPr>
          <w:rFonts w:ascii="Times New Roman" w:hAnsi="Times New Roman" w:eastAsia="SimSun"/>
          <w:b/>
          <w:sz w:val="22"/>
        </w:rPr>
        <w:t>Table 13.</w:t>
      </w:r>
      <w:r>
        <w:rPr>
          <w:rFonts w:ascii="Times New Roman" w:hAnsi="Times New Roman" w:eastAsia="SimSun"/>
          <w:sz w:val="22"/>
        </w:rPr>
        <w:t xml:space="preserve"> Answer commitment by corpus, clean condition. An answer with commitment near zero takes no position, so no stance change can appear in it however large the retrieval-layer skew.</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Corpus</w:t>
            </w:r>
          </w:p>
        </w:tc>
        <w:tc>
          <w:tcPr>
            <w:tcW w:type="dxa" w:w="3213"/>
            <w:shd w:val="clear" w:color="auto" w:fill="DCE6F1"/>
          </w:tcPr>
          <w:p>
            <w:pPr>
              <w:spacing w:line="240" w:lineRule="auto" w:after="0"/>
            </w:pPr>
            <w:r>
              <w:rPr>
                <w:rFonts w:ascii="Times New Roman" w:hAnsi="Times New Roman" w:eastAsia="SimSun"/>
                <w:b/>
                <w:sz w:val="19"/>
              </w:rPr>
              <w:t>mean commitment</w:t>
            </w:r>
          </w:p>
        </w:tc>
        <w:tc>
          <w:tcPr>
            <w:tcW w:type="dxa" w:w="3213"/>
            <w:shd w:val="clear" w:color="auto" w:fill="DCE6F1"/>
          </w:tcPr>
          <w:p>
            <w:pPr>
              <w:spacing w:line="240" w:lineRule="auto" w:after="0"/>
            </w:pPr>
            <w:r>
              <w:rPr>
                <w:rFonts w:ascii="Times New Roman" w:hAnsi="Times New Roman" w:eastAsia="SimSun"/>
                <w:b/>
                <w:sz w:val="19"/>
              </w:rPr>
              <w:t>answers below 0.1</w:t>
            </w:r>
          </w:p>
        </w:tc>
      </w:tr>
      <w:tr>
        <w:tc>
          <w:tcPr>
            <w:tcW w:type="dxa" w:w="3213"/>
          </w:tcPr>
          <w:p>
            <w:pPr>
              <w:spacing w:line="240" w:lineRule="auto" w:after="0"/>
            </w:pPr>
            <w:r>
              <w:rPr>
                <w:rFonts w:ascii="Times New Roman" w:hAnsi="Times New Roman" w:eastAsia="SimSun"/>
                <w:sz w:val="19"/>
              </w:rPr>
              <w:t>controlled</w:t>
            </w:r>
          </w:p>
        </w:tc>
        <w:tc>
          <w:tcPr>
            <w:tcW w:type="dxa" w:w="3213"/>
          </w:tcPr>
          <w:p>
            <w:pPr>
              <w:spacing w:line="240" w:lineRule="auto" w:after="0"/>
            </w:pPr>
            <w:r>
              <w:rPr>
                <w:rFonts w:ascii="Times New Roman" w:hAnsi="Times New Roman" w:eastAsia="SimSun"/>
                <w:sz w:val="19"/>
              </w:rPr>
              <w:t>0.1555</w:t>
            </w:r>
          </w:p>
        </w:tc>
        <w:tc>
          <w:tcPr>
            <w:tcW w:type="dxa" w:w="3213"/>
          </w:tcPr>
          <w:p>
            <w:pPr>
              <w:spacing w:line="240" w:lineRule="auto" w:after="0"/>
            </w:pPr>
            <w:r>
              <w:rPr>
                <w:rFonts w:ascii="Times New Roman" w:hAnsi="Times New Roman" w:eastAsia="SimSun"/>
                <w:sz w:val="19"/>
              </w:rPr>
              <w:t>84.4%</w:t>
            </w:r>
          </w:p>
        </w:tc>
      </w:tr>
      <w:tr>
        <w:tc>
          <w:tcPr>
            <w:tcW w:type="dxa" w:w="3213"/>
          </w:tcPr>
          <w:p>
            <w:pPr>
              <w:spacing w:line="240" w:lineRule="auto" w:after="0"/>
            </w:pPr>
            <w:r>
              <w:rPr>
                <w:rFonts w:ascii="Times New Roman" w:hAnsi="Times New Roman" w:eastAsia="SimSun"/>
                <w:b/>
                <w:sz w:val="19"/>
              </w:rPr>
              <w:t>BBQ (full)</w:t>
            </w:r>
          </w:p>
        </w:tc>
        <w:tc>
          <w:tcPr>
            <w:tcW w:type="dxa" w:w="3213"/>
          </w:tcPr>
          <w:p>
            <w:pPr>
              <w:spacing w:line="240" w:lineRule="auto" w:after="0"/>
            </w:pPr>
            <w:r>
              <w:rPr>
                <w:rFonts w:ascii="Times New Roman" w:hAnsi="Times New Roman" w:eastAsia="SimSun"/>
                <w:b/>
                <w:sz w:val="19"/>
              </w:rPr>
              <w:t>0.0071</w:t>
            </w:r>
          </w:p>
        </w:tc>
        <w:tc>
          <w:tcPr>
            <w:tcW w:type="dxa" w:w="3213"/>
          </w:tcPr>
          <w:p>
            <w:pPr>
              <w:spacing w:line="240" w:lineRule="auto" w:after="0"/>
            </w:pPr>
            <w:r>
              <w:rPr>
                <w:rFonts w:ascii="Times New Roman" w:hAnsi="Times New Roman" w:eastAsia="SimSun"/>
                <w:b/>
                <w:sz w:val="19"/>
              </w:rPr>
              <w:t>99.0%</w:t>
            </w:r>
          </w:p>
        </w:tc>
      </w:tr>
    </w:tbl>
    <w:p/>
    <w:p>
      <w:r>
        <w:rPr>
          <w:rFonts w:ascii="Times New Roman" w:hAnsi="Times New Roman" w:eastAsia="SimSun"/>
          <w:sz w:val="22"/>
        </w:rPr>
        <w:t xml:space="preserve">The gap is 22×, and it means the free-form statistic on BBQ is near zero under </w:t>
      </w:r>
      <w:r>
        <w:rPr>
          <w:rFonts w:ascii="Times New Roman" w:hAnsi="Times New Roman" w:eastAsia="SimSun"/>
          <w:i/>
          <w:sz w:val="22"/>
        </w:rPr>
        <w:t>every</w:t>
      </w:r>
      <w:r>
        <w:rPr>
          <w:rFonts w:ascii="Times New Roman" w:hAnsi="Times New Roman" w:eastAsia="SimSun"/>
          <w:sz w:val="22"/>
        </w:rPr>
        <w:t xml:space="preserve"> condition: the effect we were looking for could not have appeared there. This also bounds the controlled-corpus result more honestly than we previously stated it — 84.4% of those answers are non-committal too, so the shift reported above rests on roughly a sixth of them.</w:t>
      </w:r>
    </w:p>
    <w:p>
      <w:r>
        <w:rPr>
          <w:rFonts w:ascii="Times New Roman" w:hAnsi="Times New Roman" w:eastAsia="SimSun"/>
          <w:b/>
          <w:sz w:val="22"/>
        </w:rPr>
        <w:t>A probe that forces commitment detects the effect on BBQ.</w:t>
      </w:r>
      <w:r>
        <w:rPr>
          <w:rFonts w:ascii="Times New Roman" w:hAnsi="Times New Roman" w:eastAsia="SimSun"/>
          <w:sz w:val="22"/>
        </w:rPr>
        <w:t xml:space="preserve"> We therefore re-ran the generation stage with the forced-choice probe used in earlier drafts of this work: the generator must choose between a favourable and an unfavourable statement about the group, drawn from the same template inventory the attack manipulates, with option order randomised per item so a position bias cannot masquerade as a stance effect. Before using it we verified it carries signal rather than position: the reply was a parseable choice in 100% of cases, and the probability of choosing position A is 100% when the favourable statement sits at A against 35% when it sits at B — a 65-point swing, so the choice tracks content.</w:t>
      </w:r>
    </w:p>
    <w:p>
      <w:r>
        <w:rPr>
          <w:rFonts w:ascii="Times New Roman" w:hAnsi="Times New Roman" w:eastAsia="SimSun"/>
          <w:b/>
          <w:sz w:val="22"/>
        </w:rPr>
        <w:t>Table 14.</w:t>
      </w:r>
      <w:r>
        <w:rPr>
          <w:rFonts w:ascii="Times New Roman" w:hAnsi="Times New Roman" w:eastAsia="SimSun"/>
          <w:sz w:val="22"/>
        </w:rPr>
        <w:t xml:space="preserve"> Forced-choice stance on the full BBQ corpus, 144 queries, per-group favourable-choice rate, paired permutation test against </w:t>
      </w:r>
      <w:r>
        <w:rPr>
          <w:rFonts w:ascii="Consolas" w:hAnsi="Consolas" w:eastAsia="Consolas"/>
          <w:sz w:val="21"/>
        </w:rPr>
        <w:t>clean</w:t>
      </w:r>
      <w:r>
        <w:rPr>
          <w:rFonts w:ascii="Times New Roman" w:hAnsi="Times New Roman" w:eastAsia="SimSun"/>
          <w:sz w:val="22"/>
        </w:rPr>
        <w:t>. Only shifts significant at $p &lt; 0.05$ are listed.</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Generator</w:t>
            </w:r>
          </w:p>
        </w:tc>
        <w:tc>
          <w:tcPr>
            <w:tcW w:type="dxa" w:w="2409"/>
            <w:shd w:val="clear" w:color="auto" w:fill="DCE6F1"/>
          </w:tcPr>
          <w:p>
            <w:pPr>
              <w:spacing w:line="240" w:lineRule="auto" w:after="0"/>
            </w:pPr>
            <w:r>
              <w:rPr>
                <w:rFonts w:ascii="Times New Roman" w:hAnsi="Times New Roman" w:eastAsia="SimSun"/>
                <w:b/>
                <w:sz w:val="19"/>
              </w:rPr>
              <w:t>Group</w:t>
            </w:r>
          </w:p>
        </w:tc>
        <w:tc>
          <w:tcPr>
            <w:tcW w:type="dxa" w:w="2409"/>
            <w:shd w:val="clear" w:color="auto" w:fill="DCE6F1"/>
          </w:tcPr>
          <w:p>
            <w:pPr>
              <w:spacing w:line="240" w:lineRule="auto" w:after="0"/>
            </w:pPr>
            <w:r>
              <w:rPr>
                <w:rFonts w:ascii="Times New Roman" w:hAnsi="Times New Roman" w:eastAsia="SimSun"/>
                <w:b/>
                <w:sz w:val="19"/>
              </w:rPr>
              <w:t>Δ favourable rate</w:t>
            </w:r>
          </w:p>
        </w:tc>
        <w:tc>
          <w:tcPr>
            <w:tcW w:type="dxa" w:w="2409"/>
            <w:shd w:val="clear" w:color="auto" w:fill="DCE6F1"/>
          </w:tcPr>
          <w:p>
            <w:pPr>
              <w:spacing w:line="240" w:lineRule="auto" w:after="0"/>
            </w:pPr>
            <w:r>
              <w:rPr>
                <w:rFonts w:ascii="Times New Roman" w:hAnsi="Times New Roman" w:eastAsia="SimSun"/>
                <w:b/>
                <w:sz w:val="19"/>
              </w:rPr>
              <w:t>p</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woman</w:t>
            </w:r>
          </w:p>
        </w:tc>
        <w:tc>
          <w:tcPr>
            <w:tcW w:type="dxa" w:w="2409"/>
          </w:tcPr>
          <w:p>
            <w:pPr>
              <w:spacing w:line="240" w:lineRule="auto" w:after="0"/>
            </w:pPr>
            <w:r>
              <w:rPr>
                <w:rFonts w:ascii="Times New Roman" w:hAnsi="Times New Roman" w:eastAsia="SimSun"/>
                <w:b/>
                <w:sz w:val="19"/>
              </w:rPr>
              <w:t>+0.6333</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nondisabled</w:t>
            </w:r>
          </w:p>
        </w:tc>
        <w:tc>
          <w:tcPr>
            <w:tcW w:type="dxa" w:w="2409"/>
          </w:tcPr>
          <w:p>
            <w:pPr>
              <w:spacing w:line="240" w:lineRule="auto" w:after="0"/>
            </w:pPr>
            <w:r>
              <w:rPr>
                <w:rFonts w:ascii="Times New Roman" w:hAnsi="Times New Roman" w:eastAsia="SimSun"/>
                <w:b/>
                <w:sz w:val="19"/>
              </w:rPr>
              <w:t>+0.5714</w:t>
            </w:r>
          </w:p>
        </w:tc>
        <w:tc>
          <w:tcPr>
            <w:tcW w:type="dxa" w:w="2409"/>
          </w:tcPr>
          <w:p>
            <w:pPr>
              <w:spacing w:line="240" w:lineRule="auto" w:after="0"/>
            </w:pPr>
            <w:r>
              <w:rPr>
                <w:rFonts w:ascii="Times New Roman" w:hAnsi="Times New Roman" w:eastAsia="SimSun"/>
                <w:b/>
                <w:sz w:val="19"/>
              </w:rPr>
              <w:t>&lt;0.0001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b/>
                <w:sz w:val="19"/>
              </w:rPr>
              <w:t>+0.5000</w:t>
            </w:r>
          </w:p>
        </w:tc>
        <w:tc>
          <w:tcPr>
            <w:tcW w:type="dxa" w:w="2409"/>
          </w:tcPr>
          <w:p>
            <w:pPr>
              <w:spacing w:line="240" w:lineRule="auto" w:after="0"/>
            </w:pPr>
            <w:r>
              <w:rPr>
                <w:rFonts w:ascii="Times New Roman" w:hAnsi="Times New Roman" w:eastAsia="SimSun"/>
                <w:b/>
                <w:sz w:val="19"/>
              </w:rPr>
              <w:t>0.0003</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young</w:t>
            </w:r>
          </w:p>
        </w:tc>
        <w:tc>
          <w:tcPr>
            <w:tcW w:type="dxa" w:w="2409"/>
          </w:tcPr>
          <w:p>
            <w:pPr>
              <w:spacing w:line="240" w:lineRule="auto" w:after="0"/>
            </w:pPr>
            <w:r>
              <w:rPr>
                <w:rFonts w:ascii="Times New Roman" w:hAnsi="Times New Roman" w:eastAsia="SimSun"/>
                <w:sz w:val="19"/>
              </w:rPr>
              <w:t>+0.2449</w:t>
            </w:r>
          </w:p>
        </w:tc>
        <w:tc>
          <w:tcPr>
            <w:tcW w:type="dxa" w:w="2409"/>
          </w:tcPr>
          <w:p>
            <w:pPr>
              <w:spacing w:line="240" w:lineRule="auto" w:after="0"/>
            </w:pPr>
            <w:r>
              <w:rPr>
                <w:rFonts w:ascii="Times New Roman" w:hAnsi="Times New Roman" w:eastAsia="SimSun"/>
                <w:sz w:val="19"/>
              </w:rPr>
              <w:t>0.0121</w:t>
            </w:r>
          </w:p>
        </w:tc>
      </w:tr>
      <w:tr>
        <w:tc>
          <w:tcPr>
            <w:tcW w:type="dxa" w:w="2409"/>
          </w:tcPr>
          <w:p>
            <w:pPr>
              <w:spacing w:line="240" w:lineRule="auto" w:after="0"/>
            </w:pPr>
            <w:r>
              <w:rPr>
                <w:rFonts w:ascii="Times New Roman" w:hAnsi="Times New Roman" w:eastAsia="SimSun"/>
                <w:b/>
                <w:sz w:val="19"/>
              </w:rPr>
              <w:t>qwen-turbo</w:t>
            </w:r>
          </w:p>
        </w:tc>
        <w:tc>
          <w:tcPr>
            <w:tcW w:type="dxa" w:w="2409"/>
          </w:tcPr>
          <w:p>
            <w:pPr>
              <w:spacing w:line="240" w:lineRule="auto" w:after="0"/>
            </w:pPr>
            <w:r>
              <w:rPr>
                <w:rFonts w:ascii="Times New Roman" w:hAnsi="Times New Roman" w:eastAsia="SimSun"/>
                <w:sz w:val="19"/>
              </w:rPr>
              <w:t>disabled</w:t>
            </w:r>
          </w:p>
        </w:tc>
        <w:tc>
          <w:tcPr>
            <w:tcW w:type="dxa" w:w="2409"/>
          </w:tcPr>
          <w:p>
            <w:pPr>
              <w:spacing w:line="240" w:lineRule="auto" w:after="0"/>
            </w:pPr>
            <w:r>
              <w:rPr>
                <w:rFonts w:ascii="Times New Roman" w:hAnsi="Times New Roman" w:eastAsia="SimSun"/>
                <w:sz w:val="19"/>
              </w:rPr>
              <w:t>+0.2381</w:t>
            </w:r>
          </w:p>
        </w:tc>
        <w:tc>
          <w:tcPr>
            <w:tcW w:type="dxa" w:w="2409"/>
          </w:tcPr>
          <w:p>
            <w:pPr>
              <w:spacing w:line="240" w:lineRule="auto" w:after="0"/>
            </w:pPr>
            <w:r>
              <w:rPr>
                <w:rFonts w:ascii="Times New Roman" w:hAnsi="Times New Roman" w:eastAsia="SimSun"/>
                <w:sz w:val="19"/>
              </w:rPr>
              <w:t>0.0274</w:t>
            </w:r>
          </w:p>
        </w:tc>
      </w:tr>
      <w:tr>
        <w:tc>
          <w:tcPr>
            <w:tcW w:type="dxa" w:w="2409"/>
          </w:tcPr>
          <w:p>
            <w:pPr>
              <w:spacing w:line="240" w:lineRule="auto" w:after="0"/>
            </w:pPr>
            <w:r>
              <w:rPr>
                <w:rFonts w:ascii="Times New Roman" w:hAnsi="Times New Roman" w:eastAsia="SimSun"/>
                <w:sz w:val="19"/>
              </w:rPr>
              <w:t>qwen-plus</w:t>
            </w:r>
          </w:p>
        </w:tc>
        <w:tc>
          <w:tcPr>
            <w:tcW w:type="dxa" w:w="2409"/>
          </w:tcPr>
          <w:p>
            <w:pPr>
              <w:spacing w:line="240" w:lineRule="auto" w:after="0"/>
            </w:pPr>
            <w:r>
              <w:rPr>
                <w:rFonts w:ascii="Times New Roman" w:hAnsi="Times New Roman" w:eastAsia="SimSun"/>
                <w:sz w:val="19"/>
              </w:rPr>
              <w:t>man</w:t>
            </w:r>
          </w:p>
        </w:tc>
        <w:tc>
          <w:tcPr>
            <w:tcW w:type="dxa" w:w="2409"/>
          </w:tcPr>
          <w:p>
            <w:pPr>
              <w:spacing w:line="240" w:lineRule="auto" w:after="0"/>
            </w:pPr>
            <w:r>
              <w:rPr>
                <w:rFonts w:ascii="Times New Roman" w:hAnsi="Times New Roman" w:eastAsia="SimSun"/>
                <w:sz w:val="19"/>
              </w:rPr>
              <w:t>+0.2333</w:t>
            </w:r>
          </w:p>
        </w:tc>
        <w:tc>
          <w:tcPr>
            <w:tcW w:type="dxa" w:w="2409"/>
          </w:tcPr>
          <w:p>
            <w:pPr>
              <w:spacing w:line="240" w:lineRule="auto" w:after="0"/>
            </w:pPr>
            <w:r>
              <w:rPr>
                <w:rFonts w:ascii="Times New Roman" w:hAnsi="Times New Roman" w:eastAsia="SimSun"/>
                <w:sz w:val="19"/>
              </w:rPr>
              <w:t>0.0379</w:t>
            </w:r>
          </w:p>
        </w:tc>
      </w:tr>
      <w:tr>
        <w:tc>
          <w:tcPr>
            <w:tcW w:type="dxa" w:w="2409"/>
          </w:tcPr>
          <w:p>
            <w:pPr>
              <w:spacing w:line="240" w:lineRule="auto" w:after="0"/>
            </w:pPr>
            <w:r>
              <w:rPr>
                <w:rFonts w:ascii="Times New Roman" w:hAnsi="Times New Roman" w:eastAsia="SimSun"/>
                <w:sz w:val="19"/>
              </w:rPr>
              <w:t>mistral-7b</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none reached significance</w:t>
            </w:r>
          </w:p>
        </w:tc>
        <w:tc>
          <w:tcPr>
            <w:tcW w:type="dxa" w:w="2409"/>
          </w:tcPr>
          <w:p>
            <w:pPr>
              <w:spacing w:line="240" w:lineRule="auto" w:after="0"/>
            </w:pPr>
            <w:r>
              <w:rPr>
                <w:rFonts w:ascii="Times New Roman" w:hAnsi="Times New Roman" w:eastAsia="SimSun"/>
                <w:sz w:val="19"/>
              </w:rPr>
              <w:t>—</w:t>
            </w:r>
          </w:p>
        </w:tc>
      </w:tr>
    </w:tbl>
    <w:p/>
    <w:p>
      <w:r>
        <w:rPr>
          <w:rFonts w:ascii="Times New Roman" w:hAnsi="Times New Roman" w:eastAsia="SimSun"/>
          <w:b/>
          <w:sz w:val="22"/>
        </w:rPr>
        <w:t>Finding 8, restated.</w:t>
      </w:r>
      <w:r>
        <w:rPr>
          <w:rFonts w:ascii="Times New Roman" w:hAnsi="Times New Roman" w:eastAsia="SimSun"/>
          <w:sz w:val="22"/>
        </w:rPr>
        <w:t xml:space="preserve"> The retrieval-layer skew does reach the generated output on a naturally written corpus. What failed on BBQ was the free-form probe, which could not have detected the effect because 99.0% of the answers it scores take no position at all. With a probe that forces commitment, one generator shows five per-group shifts at $p &lt; 0.05$ with the largest at $+0.63$.</w:t>
      </w:r>
    </w:p>
    <w:p>
      <w:r>
        <w:rPr>
          <w:rFonts w:ascii="Times New Roman" w:hAnsi="Times New Roman" w:eastAsia="SimSun"/>
          <w:sz w:val="22"/>
        </w:rPr>
        <w:t>Three qualifications belong with that, and we state them rather than leaving them to be found:</w:t>
      </w:r>
    </w:p>
    <w:p>
      <w:pPr>
        <w:pStyle w:val="ListBullet"/>
        <w:spacing w:line="360" w:lineRule="auto"/>
      </w:pPr>
      <w:r>
        <w:rPr>
          <w:rFonts w:ascii="Times New Roman" w:hAnsi="Times New Roman" w:eastAsia="SimSun"/>
          <w:b/>
          <w:sz w:val="22"/>
        </w:rPr>
        <w:t>The effect is group-specific, not uniform.</w:t>
      </w:r>
      <w:r>
        <w:rPr>
          <w:rFonts w:ascii="Times New Roman" w:hAnsi="Times New Roman" w:eastAsia="SimSun"/>
          <w:sz w:val="22"/>
        </w:rPr>
        <w:t xml:space="preserve"> On BBQ it concentrates in woman, nondisabled, man, young and disabled; on the controlled corpus (Table 12) it concentrates in asian, elderly and white. Averaging over groups, which is what a per-group </w:t>
      </w:r>
      <w:r>
        <w:rPr>
          <w:rFonts w:ascii="Times New Roman" w:hAnsi="Times New Roman" w:eastAsia="SimSun"/>
          <w:i/>
          <w:sz w:val="22"/>
        </w:rPr>
        <w:t>mean</w:t>
      </w:r>
      <w:r>
        <w:rPr>
          <w:rFonts w:ascii="Times New Roman" w:hAnsi="Times New Roman" w:eastAsia="SimSun"/>
          <w:sz w:val="22"/>
        </w:rPr>
        <w:t xml:space="preserve"> does and what our earlier free-form analysis did, understates it substantially.</w:t>
      </w:r>
    </w:p>
    <w:p>
      <w:pPr>
        <w:pStyle w:val="ListBullet"/>
        <w:spacing w:line="360" w:lineRule="auto"/>
      </w:pPr>
      <w:r>
        <w:rPr>
          <w:rFonts w:ascii="Times New Roman" w:hAnsi="Times New Roman" w:eastAsia="SimSun"/>
          <w:b/>
          <w:sz w:val="22"/>
        </w:rPr>
        <w:t>It is generator-dependent.</w:t>
      </w:r>
      <w:r>
        <w:rPr>
          <w:rFonts w:ascii="Times New Roman" w:hAnsi="Times New Roman" w:eastAsia="SimSun"/>
          <w:sz w:val="22"/>
        </w:rPr>
        <w:t xml:space="preserve"> qwen-turbo carries most of the signal on both corpora; mistral-7b shows none that reaches significance on BBQ, and the one API generator we ran at largest scale shows a single group. A single dense number such as "the gap rose 46%" is therefore the wrong form for this result, and we no longer report one.</w:t>
      </w:r>
    </w:p>
    <w:p>
      <w:pPr>
        <w:pStyle w:val="ListBullet"/>
        <w:spacing w:line="360" w:lineRule="auto"/>
      </w:pPr>
      <w:r>
        <w:rPr>
          <w:rFonts w:ascii="Times New Roman" w:hAnsi="Times New Roman" w:eastAsia="SimSun"/>
          <w:b/>
          <w:sz w:val="22"/>
        </w:rPr>
        <w:t>Concentration is not the same as a large average effect.</w:t>
      </w:r>
      <w:r>
        <w:rPr>
          <w:rFonts w:ascii="Times New Roman" w:hAnsi="Times New Roman" w:eastAsia="SimSun"/>
          <w:sz w:val="22"/>
        </w:rPr>
        <w:t xml:space="preserve"> Five significant groups out of eight, each with a large rate shift, is a stronger statement than the average gap suggests, and a weaker one than "the system's stance changed across the board".</w:t>
      </w:r>
    </w:p>
    <w:p>
      <w:r>
        <w:rPr>
          <w:rFonts w:ascii="Times New Roman" w:hAnsi="Times New Roman" w:eastAsia="SimSun"/>
          <w:b/>
          <w:sz w:val="22"/>
        </w:rPr>
        <w:t>This is the third instrument failure in the paper, and it belongs with the other two.</w:t>
      </w:r>
      <w:r>
        <w:rPr>
          <w:rFonts w:ascii="Times New Roman" w:hAnsi="Times New Roman" w:eastAsia="SimSun"/>
          <w:sz w:val="22"/>
        </w:rPr>
        <w:t xml:space="preserve"> The free-form probe joins the reference-based stance statistics and the absolute cross-group gap as a measurement that returns a plausible number while being structurally unable to see the thing being measured. Its signature is the one we have now seen three times: a statistic that comes out near zero for reasons that have nothing to do with the phenomenon. We report it in the results rather than the limitations because it changes a conclusion we had already drawn.</w:t>
      </w:r>
    </w:p>
    <w:p>
      <w:r>
        <w:rPr>
          <w:rFonts w:ascii="Times New Roman" w:hAnsi="Times New Roman" w:eastAsia="SimSun"/>
          <w:b/>
          <w:sz w:val="22"/>
        </w:rPr>
        <w:t>5.7.2 Two metric failures, and what they were caused by.</w:t>
      </w:r>
    </w:p>
    <w:p>
      <w:r>
        <w:rPr>
          <w:rFonts w:ascii="Times New Roman" w:hAnsi="Times New Roman" w:eastAsia="SimSun"/>
          <w:b/>
          <w:sz w:val="22"/>
        </w:rPr>
        <w:t>5.7.2 Two metric failures, and what they were caused by.</w:t>
      </w:r>
      <w:r>
        <w:rPr>
          <w:rFonts w:ascii="Times New Roman" w:hAnsi="Times New Roman" w:eastAsia="SimSun"/>
          <w:sz w:val="22"/>
        </w:rPr>
        <w:t xml:space="preserve"> Both are worth recording because each cost us a wrong result before being found.</w:t>
      </w:r>
    </w:p>
    <w:p>
      <w:r>
        <w:rPr>
          <w:rFonts w:ascii="Times New Roman" w:hAnsi="Times New Roman" w:eastAsia="SimSun"/>
          <w:i/>
          <w:sz w:val="22"/>
        </w:rPr>
        <w:t>Stance direction.</w:t>
      </w:r>
      <w:r>
        <w:rPr>
          <w:rFonts w:ascii="Times New Roman" w:hAnsi="Times New Roman" w:eastAsia="SimSun"/>
          <w:sz w:val="22"/>
        </w:rPr>
        <w:t xml:space="preserve"> The first implementation scored stance as </w:t>
      </w:r>
      <w:r>
        <w:rPr>
          <w:rFonts w:ascii="Consolas" w:hAnsi="Consolas" w:eastAsia="Consolas"/>
          <w:sz w:val="21"/>
        </w:rPr>
        <w:t>P(entail | statement, answer)</w:t>
      </w:r>
      <w:r>
        <w:rPr>
          <w:rFonts w:ascii="Times New Roman" w:hAnsi="Times New Roman" w:eastAsia="SimSun"/>
          <w:sz w:val="22"/>
        </w:rPr>
        <w:t xml:space="preserve">. Calibrated against the correct convention on the same data, the reversed form returns ±0.002 for a favourable answer, an unfavourable answer, an unrelated answer and a vacuous one alike: it cannot separate anything, and it fails silently by returning zeros rather than an obvious error. The correct direction, </w:t>
      </w:r>
      <w:r>
        <w:rPr>
          <w:rFonts w:ascii="Consolas" w:hAnsi="Consolas" w:eastAsia="Consolas"/>
          <w:sz w:val="21"/>
        </w:rPr>
        <w:t>P(entail | answer, statement)</w:t>
      </w:r>
      <w:r>
        <w:rPr>
          <w:rFonts w:ascii="Times New Roman" w:hAnsi="Times New Roman" w:eastAsia="SimSun"/>
          <w:sz w:val="22"/>
        </w:rPr>
        <w:t>, returns +0.997 and −0.997 for the two extremes. The convention is not interchangeable and the failure mode is indistinguishable from a genuine null result — a mistake worth flagging for anyone building this measurement.</w:t>
      </w:r>
    </w:p>
    <w:p>
      <w:r>
        <w:rPr>
          <w:rFonts w:ascii="Times New Roman" w:hAnsi="Times New Roman" w:eastAsia="SimSun"/>
          <w:i/>
          <w:sz w:val="22"/>
        </w:rPr>
        <w:t>Attribution direction.</w:t>
      </w:r>
      <w:r>
        <w:rPr>
          <w:rFonts w:ascii="Times New Roman" w:hAnsi="Times New Roman" w:eastAsia="SimSun"/>
          <w:sz w:val="22"/>
        </w:rPr>
        <w:t xml:space="preserve"> The expected-attributed-exposure (EAE-D) statistic of Kim &amp; Diaz [8] was implemented by asking the generator, per retrieved passage, whether its answer relied on that passage. It returned </w:t>
      </w:r>
      <w:r>
        <w:rPr>
          <w:rFonts w:ascii="Times New Roman" w:hAnsi="Times New Roman" w:eastAsia="SimSun"/>
          <w:b/>
          <w:sz w:val="22"/>
        </w:rPr>
        <w:t>1.000 in every condition</w:t>
      </w:r>
      <w:r>
        <w:rPr>
          <w:rFonts w:ascii="Times New Roman" w:hAnsi="Times New Roman" w:eastAsia="SimSun"/>
          <w:sz w:val="22"/>
        </w:rPr>
        <w:t xml:space="preserve">, which we previously reported as a failed metric. The cause is again direction: attribution must ask whether the </w:t>
      </w:r>
      <w:r>
        <w:rPr>
          <w:rFonts w:ascii="Times New Roman" w:hAnsi="Times New Roman" w:eastAsia="SimSun"/>
          <w:b/>
          <w:sz w:val="22"/>
        </w:rPr>
        <w:t>passage entails the answer</w:t>
      </w:r>
      <w:r>
        <w:rPr>
          <w:rFonts w:ascii="Times New Roman" w:hAnsi="Times New Roman" w:eastAsia="SimSun"/>
          <w:sz w:val="22"/>
        </w:rPr>
        <w:t>, not the reverse. A passage the answer used scores 0.996 in the correct direction and 0.008 in the reversed one; an unused passage scores 0.000 in both. With the direction fixed the statistic discriminates properly — 0.798–0.828 clean, rising to 0.831–0.968 under injection, since poisoned contexts are engineered to be the passages the answer leans on. The earlier self-report probe measured the judge's agreeableness, not the answer's provenance.</w:t>
      </w:r>
    </w:p>
    <w:p>
      <w:r>
        <w:rPr>
          <w:rFonts w:ascii="Times New Roman" w:hAnsi="Times New Roman" w:eastAsia="SimSun"/>
          <w:b/>
          <w:sz w:val="22"/>
        </w:rPr>
        <w:t>Scope.</w:t>
      </w:r>
      <w:r>
        <w:rPr>
          <w:rFonts w:ascii="Times New Roman" w:hAnsi="Times New Roman" w:eastAsia="SimSun"/>
          <w:sz w:val="22"/>
        </w:rPr>
        <w:t xml:space="preserve"> Three generators from two model families, one retrieval backbone (GTE-base), one injection rate, and 48 retrieval slots that correspond to only 16 distinct question texts (§8, Limitation 6). The per-group shifts are consistent in sign and significance across all three generators, which is stronger evidence than the single-generator version this section previously reported; the magnitudes, however, should not be extrapolated to generators we did not run.</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Findings 2, 3 and 6 are not tuning failures. They follow from what a distributional constraint </w:t>
      </w:r>
      <w:r>
        <w:rPr>
          <w:rFonts w:ascii="Times New Roman" w:hAnsi="Times New Roman" w:eastAsia="SimSun"/>
          <w:i/>
          <w:sz w:val="22"/>
        </w:rPr>
        <w:t>is</w:t>
      </w:r>
      <w:r>
        <w:rPr>
          <w:rFonts w:ascii="Times New Roman" w:hAnsi="Times New Roman" w:eastAsia="SimSun"/>
          <w:sz w:val="22"/>
        </w:rPr>
        <w:t>, and we give the derivation here.</w:t>
      </w:r>
    </w:p>
    <w:p>
      <w:pPr>
        <w:shd w:val="clear" w:color="auto" w:fill="DCE6F1"/>
        <w:spacing w:before="200" w:after="80"/>
      </w:pPr>
      <w:r>
        <w:rPr>
          <w:rFonts w:ascii="Times New Roman" w:hAnsi="Times New Roman" w:eastAsia="Microsoft YaHei"/>
          <w:b/>
          <w:sz w:val="26"/>
        </w:rPr>
        <w:t>6.1 Setup</w:t>
      </w:r>
    </w:p>
    <w:p>
      <w:r>
        <w:rPr>
          <w:rFonts w:ascii="Times New Roman" w:hAnsi="Times New Roman" w:eastAsia="SimSun"/>
          <w:sz w:val="22"/>
        </w:rPr>
        <w:t>Let $\mathcal{C}$ be the corpus; each passage $d$ carries a group $g(d) \in \mathcal{G} \cup \{\bot\}$ and a stance $s(d) \in \{+1,-1,0\}$ ($+1$ favourable toward $g(d)$). Let $\mathcal{A} \subseteq \mathcal{C}$ be the passages the attacker controls, $n = |\mathcal{A}|$. A defense selects $\mathcal{D}_q \subseteq \mathcal{C}$ with $|\mathcal{D}_q| = k$ (we write $\mathcal{D}$ where $q$ is clear). Define</w:t>
      </w:r>
    </w:p>
    <w:p>
      <w:r>
        <w:rPr>
          <w:rFonts w:ascii="Times New Roman" w:hAnsi="Times New Roman" w:eastAsia="SimSun"/>
          <w:sz w:val="22"/>
        </w:rPr>
        <w:t>$$p_{\text{grp}}(g;\mathcal{D}) = \frac{|\{d \in \mathcal{D} : g(d) = g,\ s(d)\neq 0\}|}{|\{d \in \mathcal{D} : g(d)\neq\bot,\ s(d)\neq 0\}|}, \qquad p_{\text{fav}}(g;\mathcal{D}) = \frac{|\{d \in \mathcal{D} : g(d) = g,\ s(d)=+1\}|}{|\{d \in \mathcal{D} : g(d) = g,\ s(d)\neq 0\}|}.$$</w:t>
      </w:r>
    </w:p>
    <w:p>
      <w:r>
        <w:rPr>
          <w:rFonts w:ascii="Times New Roman" w:hAnsi="Times New Roman" w:eastAsia="SimSun"/>
          <w:b/>
          <w:sz w:val="22"/>
        </w:rPr>
        <w:t>Definition (ε-feasible).</w:t>
      </w:r>
      <w:r>
        <w:rPr>
          <w:rFonts w:ascii="Times New Roman" w:hAnsi="Times New Roman" w:eastAsia="SimSun"/>
          <w:sz w:val="22"/>
        </w:rPr>
        <w:t xml:space="preserve"> Fix references $p^{</w:t>
      </w:r>
      <w:r>
        <w:rPr>
          <w:rFonts w:ascii="Times New Roman" w:hAnsi="Times New Roman" w:eastAsia="SimSun"/>
          <w:i/>
          <w:sz w:val="22"/>
        </w:rPr>
        <w:t>}_{\text{grp}}, p^{</w:t>
      </w:r>
      <w:r>
        <w:rPr>
          <w:rFonts w:ascii="Times New Roman" w:hAnsi="Times New Roman" w:eastAsia="SimSun"/>
          <w:sz w:val="22"/>
        </w:rPr>
        <w:t xml:space="preserve">}_{\text{fav}}$. A selection $\mathcal{D}$ is </w:t>
      </w:r>
      <w:r>
        <w:rPr>
          <w:rFonts w:ascii="Times New Roman" w:hAnsi="Times New Roman" w:eastAsia="SimSun"/>
          <w:i/>
          <w:sz w:val="22"/>
        </w:rPr>
        <w:t>ε-feasible</w:t>
      </w:r>
      <w:r>
        <w:rPr>
          <w:rFonts w:ascii="Times New Roman" w:hAnsi="Times New Roman" w:eastAsia="SimSun"/>
          <w:sz w:val="22"/>
        </w:rPr>
        <w:t>, written $\mathcal{D} \in \mathcal{R}_\varepsilon$, if for every $g \in \mathcal{G}$</w:t>
      </w:r>
    </w:p>
    <w:p>
      <w:r>
        <w:rPr>
          <w:rFonts w:ascii="Times New Roman" w:hAnsi="Times New Roman" w:eastAsia="SimSun"/>
          <w:sz w:val="22"/>
        </w:rPr>
        <w:t>$$\bigl|p_{\text{grp}}(g;\mathcal{D}) - p^{</w:t>
      </w:r>
      <w:r>
        <w:rPr>
          <w:rFonts w:ascii="Times New Roman" w:hAnsi="Times New Roman" w:eastAsia="SimSun"/>
          <w:i/>
          <w:sz w:val="22"/>
        </w:rPr>
        <w:t>}_{\text{grp}}(g)\bigr| \le \varepsilon \quad\text{and}\quad \bigl|p_{\text{fav}}(g;\mathcal{D}) - p^{</w:t>
      </w:r>
      <w:r>
        <w:rPr>
          <w:rFonts w:ascii="Times New Roman" w:hAnsi="Times New Roman" w:eastAsia="SimSun"/>
          <w:sz w:val="22"/>
        </w:rPr>
        <w:t>}_{\text{fav}}(g)\bigr| \le \varepsilon. \tag{1}$$</w:t>
      </w:r>
    </w:p>
    <w:p>
      <w:r>
        <w:rPr>
          <w:rFonts w:ascii="Times New Roman" w:hAnsi="Times New Roman" w:eastAsia="SimSun"/>
          <w:sz w:val="22"/>
        </w:rPr>
        <w:t xml:space="preserve">A distribution-constrained defense accepts exactly $\mathcal{R}_\varepsilon$. All defenses in the family we evaluate — the R1 constraint of §4.3, and by inspection the objective of [5] and the proportion adjustment of [6] — are of this form, with $\mathcal{R}$ built from </w:t>
      </w:r>
      <w:r>
        <w:rPr>
          <w:rFonts w:ascii="Times New Roman" w:hAnsi="Times New Roman" w:eastAsia="SimSun"/>
          <w:i/>
          <w:sz w:val="22"/>
        </w:rPr>
        <w:t>clean</w:t>
      </w:r>
      <w:r>
        <w:rPr>
          <w:rFonts w:ascii="Times New Roman" w:hAnsi="Times New Roman" w:eastAsia="SimSun"/>
          <w:sz w:val="22"/>
        </w:rPr>
        <w:t xml:space="preserve"> statistics.</w:t>
      </w:r>
    </w:p>
    <w:p>
      <w:pPr>
        <w:shd w:val="clear" w:color="auto" w:fill="DCE6F1"/>
        <w:spacing w:before="200" w:after="80"/>
      </w:pPr>
      <w:r>
        <w:rPr>
          <w:rFonts w:ascii="Times New Roman" w:hAnsi="Times New Roman" w:eastAsia="Microsoft YaHei"/>
          <w:b/>
          <w:sz w:val="26"/>
        </w:rPr>
        <w:t>6.2 Proposition 1 — the injection is admissible at every tolerance</w:t>
      </w:r>
    </w:p>
    <w:p>
      <w:r>
        <w:rPr>
          <w:rFonts w:ascii="Times New Roman" w:hAnsi="Times New Roman" w:eastAsia="SimSun"/>
          <w:b/>
          <w:sz w:val="22"/>
        </w:rPr>
        <w:t>Proposition 1.</w:t>
      </w:r>
      <w:r>
        <w:rPr>
          <w:rFonts w:ascii="Times New Roman" w:hAnsi="Times New Roman" w:eastAsia="SimSun"/>
          <w:sz w:val="22"/>
        </w:rPr>
        <w:t xml:space="preserve"> Let the attacker inject $n$ passages that are (i) group-relevant, (ii) split between groups in proportion $p^{</w:t>
      </w:r>
      <w:r>
        <w:rPr>
          <w:rFonts w:ascii="Times New Roman" w:hAnsi="Times New Roman" w:eastAsia="SimSun"/>
          <w:i/>
          <w:sz w:val="22"/>
        </w:rPr>
        <w:t>}_{\text{grp}}$, and (iii) stance-balanced so that $p_{\text{fav}}(g) = p^{</w:t>
      </w:r>
      <w:r>
        <w:rPr>
          <w:rFonts w:ascii="Times New Roman" w:hAnsi="Times New Roman" w:eastAsia="SimSun"/>
          <w:sz w:val="22"/>
        </w:rPr>
        <w:t>}_{\text{fav}}(g)$ for every $g$. Then any selection consisting only of injected passages is ε-feasible for every $\varepsilon \ge 0$.</w:t>
      </w:r>
    </w:p>
    <w:p>
      <w:r>
        <w:rPr>
          <w:rFonts w:ascii="Times New Roman" w:hAnsi="Times New Roman" w:eastAsia="SimSun"/>
          <w:i/>
          <w:sz w:val="22"/>
        </w:rPr>
        <w:t>Proof.</w:t>
      </w:r>
      <w:r>
        <w:rPr>
          <w:rFonts w:ascii="Times New Roman" w:hAnsi="Times New Roman" w:eastAsia="SimSun"/>
          <w:sz w:val="22"/>
        </w:rPr>
        <w:t xml:space="preserve"> Take $\mathcal{D} \subseteq \mathcal{A}$ with $|\mathcal{D}| = k$. By (ii), the count of passages of group $g$ in $\mathcal{D}$ is $p^{</w:t>
      </w:r>
      <w:r>
        <w:rPr>
          <w:rFonts w:ascii="Times New Roman" w:hAnsi="Times New Roman" w:eastAsia="SimSun"/>
          <w:i/>
          <w:sz w:val="22"/>
        </w:rPr>
        <w:t>}_{\text{grp}}(g)\,k$ up to rounding, so $p_{\text{grp}}(g;\mathcal{D}) = p^{</w:t>
      </w:r>
      <w:r>
        <w:rPr>
          <w:rFonts w:ascii="Times New Roman" w:hAnsi="Times New Roman" w:eastAsia="SimSun"/>
          <w:sz w:val="22"/>
        </w:rPr>
        <w:t>}_{\text{grp}}(g)$, and the first inequality of (1) holds with equality. By (iii), $p_{\text{fav}}(g;\mathcal{D}) = p^{*}_{\text{fav}}(g)$, so the second holds with equality. Hence $\mathcal{D} \in \mathcal{R}_\varepsilon$ for all $\varepsilon \ge 0$. $\square$</w:t>
      </w:r>
    </w:p>
    <w:p>
      <w:r>
        <w:rPr>
          <w:rFonts w:ascii="Times New Roman" w:hAnsi="Times New Roman" w:eastAsia="SimSun"/>
          <w:b/>
          <w:sz w:val="22"/>
        </w:rPr>
        <w:t>Consequence.</w:t>
      </w:r>
      <w:r>
        <w:rPr>
          <w:rFonts w:ascii="Times New Roman" w:hAnsi="Times New Roman" w:eastAsia="SimSun"/>
          <w:sz w:val="22"/>
        </w:rPr>
        <w:t xml:space="preserve"> A defense whose acceptance test is membership in $\mathcal{R}_\varepsilon$ admits a </w:t>
      </w:r>
      <w:r>
        <w:rPr>
          <w:rFonts w:ascii="Times New Roman" w:hAnsi="Times New Roman" w:eastAsia="SimSun"/>
          <w:b/>
          <w:sz w:val="22"/>
        </w:rPr>
        <w:t>fully adversarial</w:t>
      </w:r>
      <w:r>
        <w:rPr>
          <w:rFonts w:ascii="Times New Roman" w:hAnsi="Times New Roman" w:eastAsia="SimSun"/>
          <w:sz w:val="22"/>
        </w:rPr>
        <w:t xml:space="preserve"> selection at any tolerance, including $\varepsilon = 0$. Tightening the budget does not exclude the injection; it constrains the attacker's </w:t>
      </w:r>
      <w:r>
        <w:rPr>
          <w:rFonts w:ascii="Times New Roman" w:hAnsi="Times New Roman" w:eastAsia="SimSun"/>
          <w:i/>
          <w:sz w:val="22"/>
        </w:rPr>
        <w:t>composition</w:t>
      </w:r>
      <w:r>
        <w:rPr>
          <w:rFonts w:ascii="Times New Roman" w:hAnsi="Times New Roman" w:eastAsia="SimSun"/>
          <w:sz w:val="22"/>
        </w:rPr>
        <w:t xml:space="preserve">, which the attacker chooses freely. This is the mechanism behind Findings 2 and 6, and it explains why the empirical </w:t>
      </w:r>
      <w:r>
        <w:rPr>
          <w:rFonts w:ascii="Consolas" w:hAnsi="Consolas" w:eastAsia="Consolas"/>
          <w:sz w:val="21"/>
        </w:rPr>
        <w:t>poison@k</w:t>
      </w:r>
      <w:r>
        <w:rPr>
          <w:rFonts w:ascii="Times New Roman" w:hAnsi="Times New Roman" w:eastAsia="SimSun"/>
          <w:sz w:val="22"/>
        </w:rPr>
        <w:t xml:space="preserve"> is </w:t>
      </w:r>
      <w:r>
        <w:rPr>
          <w:rFonts w:ascii="Times New Roman" w:hAnsi="Times New Roman" w:eastAsia="SimSun"/>
          <w:i/>
          <w:sz w:val="22"/>
        </w:rPr>
        <w:t>identical</w:t>
      </w:r>
      <w:r>
        <w:rPr>
          <w:rFonts w:ascii="Times New Roman" w:hAnsi="Times New Roman" w:eastAsia="SimSun"/>
          <w:sz w:val="22"/>
        </w:rPr>
        <w:t xml:space="preserve"> to no defense at every $\varepsilon$ rather than merely close to it: the injected selection is not near the boundary of $\mathcal{R}_\varepsilon$, it is at the reference point.</w:t>
      </w:r>
    </w:p>
    <w:p>
      <w:r>
        <w:rPr>
          <w:rFonts w:ascii="Times New Roman" w:hAnsi="Times New Roman" w:eastAsia="SimSun"/>
          <w:b/>
          <w:sz w:val="22"/>
        </w:rPr>
        <w:t>Empirical check.</w:t>
      </w:r>
      <w:r>
        <w:rPr>
          <w:rFonts w:ascii="Times New Roman" w:hAnsi="Times New Roman" w:eastAsia="SimSun"/>
          <w:sz w:val="22"/>
        </w:rPr>
        <w:t xml:space="preserve"> Table C3 reports the prediction of Prop. 1 against every configuration we ran: if the injected selection sits at the reference point, then constraining the R1 budget must leave adversarial inclusion </w:t>
      </w:r>
      <w:r>
        <w:rPr>
          <w:rFonts w:ascii="Times New Roman" w:hAnsi="Times New Roman" w:eastAsia="SimSun"/>
          <w:i/>
          <w:sz w:val="22"/>
        </w:rPr>
        <w:t>exactly</w:t>
      </w:r>
      <w:r>
        <w:rPr>
          <w:rFonts w:ascii="Times New Roman" w:hAnsi="Times New Roman" w:eastAsia="SimSun"/>
          <w:sz w:val="22"/>
        </w:rPr>
        <w:t xml:space="preserve"> unchanged at every tolerance.</w:t>
      </w:r>
    </w:p>
    <w:p>
      <w:r>
        <w:rPr>
          <w:rFonts w:ascii="Times New Roman" w:hAnsi="Times New Roman" w:eastAsia="SimSun"/>
          <w:i/>
          <w:sz w:val="22"/>
        </w:rPr>
        <w:t>(entries are Δ`poison@k`; 0.000 in all 24 measured cells)</w:t>
      </w:r>
    </w:p>
    <w:p>
      <w:r>
        <w:rPr>
          <w:rFonts w:ascii="Times New Roman" w:hAnsi="Times New Roman" w:eastAsia="SimSun"/>
          <w:sz w:val="22"/>
        </w:rPr>
        <w:t xml:space="preserve">Prop. 1 predicts Δ = 0 exactly, and Δ = 0 exactly in every one of the 24 cells measured — not approximately, which a tuning-failure explanation would predict. The equivalence is reproduced by </w:t>
      </w:r>
      <w:r>
        <w:rPr>
          <w:rFonts w:ascii="Consolas" w:hAnsi="Consolas" w:eastAsia="Consolas"/>
          <w:sz w:val="21"/>
        </w:rPr>
        <w:t>analysis/verify_theory.py</w:t>
      </w:r>
      <w:r>
        <w:rPr>
          <w:rFonts w:ascii="Times New Roman" w:hAnsi="Times New Roman" w:eastAsia="SimSun"/>
          <w:sz w:val="22"/>
        </w:rPr>
        <w:t xml:space="preserve">. We state the count explicitly because the exactness is the point: the constrained selection is not </w:t>
      </w:r>
      <w:r>
        <w:rPr>
          <w:rFonts w:ascii="Times New Roman" w:hAnsi="Times New Roman" w:eastAsia="SimSun"/>
          <w:i/>
          <w:sz w:val="22"/>
        </w:rPr>
        <w:t>near</w:t>
      </w:r>
      <w:r>
        <w:rPr>
          <w:rFonts w:ascii="Times New Roman" w:hAnsi="Times New Roman" w:eastAsia="SimSun"/>
          <w:sz w:val="22"/>
        </w:rPr>
        <w:t xml:space="preserve"> the reference composition, it </w:t>
      </w:r>
      <w:r>
        <w:rPr>
          <w:rFonts w:ascii="Times New Roman" w:hAnsi="Times New Roman" w:eastAsia="SimSun"/>
          <w:i/>
          <w:sz w:val="22"/>
        </w:rPr>
        <w:t>is</w:t>
      </w:r>
      <w:r>
        <w:rPr>
          <w:rFonts w:ascii="Times New Roman" w:hAnsi="Times New Roman" w:eastAsia="SimSun"/>
          <w:sz w:val="22"/>
        </w:rPr>
        <w:t xml:space="preserve"> the reference composition.</w:t>
      </w:r>
    </w:p>
    <w:p>
      <w:pPr>
        <w:shd w:val="clear" w:color="auto" w:fill="DCE6F1"/>
        <w:spacing w:before="200" w:after="80"/>
      </w:pPr>
      <w:r>
        <w:rPr>
          <w:rFonts w:ascii="Times New Roman" w:hAnsi="Times New Roman" w:eastAsia="Microsoft YaHei"/>
          <w:b/>
          <w:sz w:val="26"/>
        </w:rPr>
        <w:t>6.3 Proposition 2 — the minimum injection for an ε-shift</w:t>
      </w:r>
    </w:p>
    <w:p>
      <w:r>
        <w:rPr>
          <w:rFonts w:ascii="Times New Roman" w:hAnsi="Times New Roman" w:eastAsia="SimSun"/>
          <w:sz w:val="22"/>
        </w:rPr>
        <w:t xml:space="preserve">Proposition 1 shows the attacker </w:t>
      </w:r>
      <w:r>
        <w:rPr>
          <w:rFonts w:ascii="Times New Roman" w:hAnsi="Times New Roman" w:eastAsia="SimSun"/>
          <w:i/>
          <w:sz w:val="22"/>
        </w:rPr>
        <w:t>can</w:t>
      </w:r>
      <w:r>
        <w:rPr>
          <w:rFonts w:ascii="Times New Roman" w:hAnsi="Times New Roman" w:eastAsia="SimSun"/>
          <w:sz w:val="22"/>
        </w:rPr>
        <w:t xml:space="preserve"> be admissible; we now give the budget at which it becomes </w:t>
      </w:r>
      <w:r>
        <w:rPr>
          <w:rFonts w:ascii="Times New Roman" w:hAnsi="Times New Roman" w:eastAsia="SimSun"/>
          <w:i/>
          <w:sz w:val="22"/>
        </w:rPr>
        <w:t>effective</w:t>
      </w:r>
      <w:r>
        <w:rPr>
          <w:rFonts w:ascii="Times New Roman" w:hAnsi="Times New Roman" w:eastAsia="SimSun"/>
          <w:sz w:val="22"/>
        </w:rPr>
        <w:t>.</w:t>
      </w:r>
    </w:p>
    <w:p>
      <w:r>
        <w:rPr>
          <w:rFonts w:ascii="Times New Roman" w:hAnsi="Times New Roman" w:eastAsia="SimSun"/>
          <w:b/>
          <w:sz w:val="22"/>
        </w:rPr>
        <w:t>Proposition 2.</w:t>
      </w:r>
      <w:r>
        <w:rPr>
          <w:rFonts w:ascii="Times New Roman" w:hAnsi="Times New Roman" w:eastAsia="SimSun"/>
          <w:sz w:val="22"/>
        </w:rPr>
        <w:t xml:space="preserve"> Fix a query and a group $g$. Suppose the clean selection contains $m_g \le k$ passages about $g$, of which $f_g$ are favourable, so $p^{*}_{\text{fav}}(g) = f_g/m_g$. An attacker who replaces $j \le \min(n, m_g)$ of these with injected passages about $g$ (favourable, to flood; unfavourable, to suppress) violates the stance constraint of (1) for $g$ if and only if</w:t>
      </w:r>
    </w:p>
    <w:p>
      <w:r>
        <w:rPr>
          <w:rFonts w:ascii="Times New Roman" w:hAnsi="Times New Roman" w:eastAsia="SimSun"/>
          <w:sz w:val="22"/>
        </w:rPr>
        <w:t>$$j &gt; \varepsilon\, m_g, \qquad\text{so}\qquad j^{*}_g(\varepsilon) = \lceil \varepsilon\, m_g \rceil + 1. \tag{2}$$</w:t>
      </w:r>
    </w:p>
    <w:p>
      <w:r>
        <w:rPr>
          <w:rFonts w:ascii="Times New Roman" w:hAnsi="Times New Roman" w:eastAsia="SimSun"/>
          <w:i/>
          <w:sz w:val="22"/>
        </w:rPr>
        <w:t>Proof.</w:t>
      </w:r>
      <w:r>
        <w:rPr>
          <w:rFonts w:ascii="Times New Roman" w:hAnsi="Times New Roman" w:eastAsia="SimSun"/>
          <w:sz w:val="22"/>
        </w:rPr>
        <w:t xml:space="preserve"> Flooding: $p_{\text{fav}}(g) = (f_g + j)/m_g$ for $j \le m_g - f_g$, so $p_{\text{fav}}(g) - p^{</w:t>
      </w:r>
      <w:r>
        <w:rPr>
          <w:rFonts w:ascii="Times New Roman" w:hAnsi="Times New Roman" w:eastAsia="SimSun"/>
          <w:i/>
          <w:sz w:val="22"/>
        </w:rPr>
        <w:t>}_{\text{fav}}(g) = j/m_g &gt; \varepsilon \iff j &gt; \varepsilon m_g$. Suppressing: $p_{\text{fav}}(g) = (f_g - j)/m_g$, and $p^{</w:t>
      </w:r>
      <w:r>
        <w:rPr>
          <w:rFonts w:ascii="Times New Roman" w:hAnsi="Times New Roman" w:eastAsia="SimSun"/>
          <w:sz w:val="22"/>
        </w:rPr>
        <w:t>}_{\text{fav}}(g) - p_{\text{fav}}(g) = j/m_g$, giving the same condition. The smallest integer satisfying the strict inequality is $\lceil \varepsilon m_g\rceil + 1$, which is needed to handle the case where $\varepsilon m_g$ is an integer. $\square$</w:t>
      </w:r>
    </w:p>
    <w:p>
      <w:r>
        <w:rPr>
          <w:rFonts w:ascii="Times New Roman" w:hAnsi="Times New Roman" w:eastAsia="SimSun"/>
          <w:b/>
          <w:sz w:val="22"/>
        </w:rPr>
        <w:t>Corollary 1 (the *constraint* cost is at most $k$).</w:t>
      </w:r>
      <w:r>
        <w:rPr>
          <w:rFonts w:ascii="Times New Roman" w:hAnsi="Times New Roman" w:eastAsia="SimSun"/>
          <w:sz w:val="22"/>
        </w:rPr>
        <w:t xml:space="preserve"> Since $m_g \le k$, $j^{*}_g(\varepsilon) \le k$ for all $\varepsilon \le 1$. With $k$ typically 3–5, violating the constraint is cheap in the currency of the constraint itself.</w:t>
      </w:r>
    </w:p>
    <w:p>
      <w:r>
        <w:rPr>
          <w:rFonts w:ascii="Times New Roman" w:hAnsi="Times New Roman" w:eastAsia="SimSun"/>
          <w:b/>
          <w:sz w:val="22"/>
        </w:rPr>
        <w:t>Corollary 2 (suppression is cheaper than flooding when the clean retrieval is one-sided).</w:t>
      </w:r>
      <w:r>
        <w:rPr>
          <w:rFonts w:ascii="Times New Roman" w:hAnsi="Times New Roman" w:eastAsia="SimSun"/>
          <w:sz w:val="22"/>
        </w:rPr>
        <w:t xml:space="preserve"> If $f_g = 0$ then $p^{*}_{\text{fav}}(g) = 0$ and the flooding direction requires no violation at all, while the suppression direction must overcome the full rate; if $f_g = m_g$ the reverse holds. The cheaper direction is always the one pushing an already-extreme rate further toward its extreme — consistent with the empirical Finding 9, where the attack drove one group's favourable rate to ceiling rather than shifting both.</w:t>
      </w:r>
    </w:p>
    <w:p>
      <w:r>
        <w:rPr>
          <w:rFonts w:ascii="Times New Roman" w:hAnsi="Times New Roman" w:eastAsia="SimSun"/>
          <w:b/>
          <w:sz w:val="22"/>
        </w:rPr>
        <w:t>A correction we had to make.</w:t>
      </w:r>
      <w:r>
        <w:rPr>
          <w:rFonts w:ascii="Times New Roman" w:hAnsi="Times New Roman" w:eastAsia="SimSun"/>
          <w:sz w:val="22"/>
        </w:rPr>
        <w:t xml:space="preserve"> An earlier version of this section concluded from Corollary 1 that "the number of passages required is bounded by a small constant independent of corpus size". That conflates two requirements that behave very differently:</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DCE6F1"/>
          </w:tcPr>
          <w:p>
            <w:pPr>
              <w:spacing w:line="240" w:lineRule="auto" w:after="0"/>
            </w:pPr>
            <w:r>
              <w:rPr>
                <w:rFonts w:ascii="Times New Roman" w:hAnsi="Times New Roman" w:eastAsia="SimSun"/>
                <w:b/>
                <w:sz w:val="19"/>
              </w:rPr>
              <w:t>Requirement</w:t>
            </w:r>
          </w:p>
        </w:tc>
        <w:tc>
          <w:tcPr>
            <w:tcW w:type="dxa" w:w="3213"/>
            <w:shd w:val="clear" w:color="auto" w:fill="DCE6F1"/>
          </w:tcPr>
          <w:p>
            <w:pPr>
              <w:spacing w:line="240" w:lineRule="auto" w:after="0"/>
            </w:pPr>
            <w:r>
              <w:rPr>
                <w:rFonts w:ascii="Times New Roman" w:hAnsi="Times New Roman" w:eastAsia="SimSun"/>
                <w:b/>
                <w:sz w:val="19"/>
              </w:rPr>
              <w:t>Governed by</w:t>
            </w:r>
          </w:p>
        </w:tc>
        <w:tc>
          <w:tcPr>
            <w:tcW w:type="dxa" w:w="3213"/>
            <w:shd w:val="clear" w:color="auto" w:fill="DCE6F1"/>
          </w:tcPr>
          <w:p>
            <w:pPr>
              <w:spacing w:line="240" w:lineRule="auto" w:after="0"/>
            </w:pPr>
            <w:r>
              <w:rPr>
                <w:rFonts w:ascii="Times New Roman" w:hAnsi="Times New Roman" w:eastAsia="SimSun"/>
                <w:b/>
                <w:sz w:val="19"/>
              </w:rPr>
              <w:t>Depends on corpus size?</w:t>
            </w:r>
          </w:p>
        </w:tc>
      </w:tr>
      <w:tr>
        <w:tc>
          <w:tcPr>
            <w:tcW w:type="dxa" w:w="3213"/>
          </w:tcPr>
          <w:p>
            <w:pPr>
              <w:spacing w:line="240" w:lineRule="auto" w:after="0"/>
            </w:pPr>
            <w:r>
              <w:rPr>
                <w:rFonts w:ascii="Times New Roman" w:hAnsi="Times New Roman" w:eastAsia="SimSun"/>
                <w:b/>
                <w:sz w:val="19"/>
              </w:rPr>
              <w:t>Violate the constraint</w:t>
            </w:r>
            <w:r>
              <w:rPr>
                <w:rFonts w:ascii="Times New Roman" w:hAnsi="Times New Roman" w:eastAsia="SimSun"/>
                <w:sz w:val="19"/>
              </w:rPr>
              <w:t xml:space="preserve"> (Prop. 2)</w:t>
            </w:r>
          </w:p>
        </w:tc>
        <w:tc>
          <w:tcPr>
            <w:tcW w:type="dxa" w:w="3213"/>
          </w:tcPr>
          <w:p>
            <w:pPr>
              <w:spacing w:line="240" w:lineRule="auto" w:after="0"/>
            </w:pPr>
            <w:r>
              <w:rPr>
                <w:rFonts w:ascii="Times New Roman" w:hAnsi="Times New Roman" w:eastAsia="SimSun"/>
                <w:sz w:val="19"/>
              </w:rPr>
              <w:t>$\varepsilon$ and $m_g \le k$</w:t>
            </w:r>
          </w:p>
        </w:tc>
        <w:tc>
          <w:tcPr>
            <w:tcW w:type="dxa" w:w="3213"/>
          </w:tcPr>
          <w:p>
            <w:pPr>
              <w:spacing w:line="240" w:lineRule="auto" w:after="0"/>
            </w:pPr>
            <w:r>
              <w:rPr>
                <w:rFonts w:ascii="Times New Roman" w:hAnsi="Times New Roman" w:eastAsia="SimSun"/>
                <w:b/>
                <w:sz w:val="19"/>
              </w:rPr>
              <w:t>No</w:t>
            </w:r>
          </w:p>
        </w:tc>
      </w:tr>
      <w:tr>
        <w:tc>
          <w:tcPr>
            <w:tcW w:type="dxa" w:w="3213"/>
          </w:tcPr>
          <w:p>
            <w:pPr>
              <w:spacing w:line="240" w:lineRule="auto" w:after="0"/>
            </w:pPr>
            <w:r>
              <w:rPr>
                <w:rFonts w:ascii="Times New Roman" w:hAnsi="Times New Roman" w:eastAsia="SimSun"/>
                <w:b/>
                <w:sz w:val="19"/>
              </w:rPr>
              <w:t>Be retrieved at all</w:t>
            </w:r>
          </w:p>
        </w:tc>
        <w:tc>
          <w:tcPr>
            <w:tcW w:type="dxa" w:w="3213"/>
          </w:tcPr>
          <w:p>
            <w:pPr>
              <w:spacing w:line="240" w:lineRule="auto" w:after="0"/>
            </w:pPr>
            <w:r>
              <w:rPr>
                <w:rFonts w:ascii="Times New Roman" w:hAnsi="Times New Roman" w:eastAsia="SimSun"/>
                <w:sz w:val="19"/>
              </w:rPr>
              <w:t>whether injected passages out-rank the clean competition</w:t>
            </w:r>
          </w:p>
        </w:tc>
        <w:tc>
          <w:tcPr>
            <w:tcW w:type="dxa" w:w="3213"/>
          </w:tcPr>
          <w:p>
            <w:pPr>
              <w:spacing w:line="240" w:lineRule="auto" w:after="0"/>
            </w:pPr>
            <w:r>
              <w:rPr>
                <w:rFonts w:ascii="Times New Roman" w:hAnsi="Times New Roman" w:eastAsia="SimSun"/>
                <w:b/>
                <w:sz w:val="19"/>
              </w:rPr>
              <w:t>Yes</w:t>
            </w:r>
          </w:p>
        </w:tc>
      </w:tr>
    </w:tbl>
    <w:p/>
    <w:p>
      <w:r>
        <w:rPr>
          <w:rFonts w:ascii="Times New Roman" w:hAnsi="Times New Roman" w:eastAsia="SimSun"/>
          <w:sz w:val="22"/>
        </w:rPr>
        <w:t xml:space="preserve">The second is the </w:t>
      </w:r>
      <w:r>
        <w:rPr>
          <w:rFonts w:ascii="Times New Roman" w:hAnsi="Times New Roman" w:eastAsia="SimSun"/>
          <w:i/>
          <w:sz w:val="22"/>
        </w:rPr>
        <w:t>premise</w:t>
      </w:r>
      <w:r>
        <w:rPr>
          <w:rFonts w:ascii="Times New Roman" w:hAnsi="Times New Roman" w:eastAsia="SimSun"/>
          <w:sz w:val="22"/>
        </w:rPr>
        <w:t xml:space="preserve"> of the derivation, not its conclusion. Our measurements show that premise failing in a corpus-dependent way: on the controlled corpus </w:t>
      </w:r>
      <w:r>
        <w:rPr>
          <w:rFonts w:ascii="Times New Roman" w:hAnsi="Times New Roman" w:eastAsia="SimSun"/>
          <w:b/>
          <w:sz w:val="22"/>
        </w:rPr>
        <w:t>2 injected passages per stratum (0.1% of 1,824)</w:t>
      </w:r>
      <w:r>
        <w:rPr>
          <w:rFonts w:ascii="Times New Roman" w:hAnsi="Times New Roman" w:eastAsia="SimSun"/>
          <w:sz w:val="22"/>
        </w:rPr>
        <w:t xml:space="preserve"> already reach </w:t>
      </w:r>
      <w:r>
        <w:rPr>
          <w:rFonts w:ascii="Consolas" w:hAnsi="Consolas" w:eastAsia="Consolas"/>
          <w:sz w:val="21"/>
        </w:rPr>
        <w:t>poison@k</w:t>
      </w:r>
      <w:r>
        <w:rPr>
          <w:rFonts w:ascii="Times New Roman" w:hAnsi="Times New Roman" w:eastAsia="SimSun"/>
          <w:sz w:val="22"/>
        </w:rPr>
        <w:t xml:space="preserve"> = 0.688, whereas on BBQ </w:t>
      </w:r>
      <w:r>
        <w:rPr>
          <w:rFonts w:ascii="Times New Roman" w:hAnsi="Times New Roman" w:eastAsia="SimSun"/>
          <w:b/>
          <w:sz w:val="22"/>
        </w:rPr>
        <w:t>356 per stratum (2% of 17,792)</w:t>
      </w:r>
      <w:r>
        <w:rPr>
          <w:rFonts w:ascii="Times New Roman" w:hAnsi="Times New Roman" w:eastAsia="SimSun"/>
          <w:sz w:val="22"/>
        </w:rPr>
        <w:t xml:space="preserve"> reach </w:t>
      </w:r>
      <w:r>
        <w:rPr>
          <w:rFonts w:ascii="Times New Roman" w:hAnsi="Times New Roman" w:eastAsia="SimSun"/>
          <w:b/>
          <w:sz w:val="22"/>
        </w:rPr>
        <w:t>0.000</w:t>
      </w:r>
      <w:r>
        <w:rPr>
          <w:rFonts w:ascii="Times New Roman" w:hAnsi="Times New Roman" w:eastAsia="SimSun"/>
          <w:sz w:val="22"/>
        </w:rPr>
        <w:t>. Nor is $j^{</w:t>
      </w:r>
      <w:r>
        <w:rPr>
          <w:rFonts w:ascii="Times New Roman" w:hAnsi="Times New Roman" w:eastAsia="SimSun"/>
          <w:i/>
          <w:sz w:val="22"/>
        </w:rPr>
        <w:t xml:space="preserve">} \le k = 5$ sufficient on the controlled corpus, where 5 passages reach only 0.750 — replacement requires out-ranking a large field of equally relevant clean passages. The defensible statement is therefore conditional: </w:t>
      </w:r>
      <w:r>
        <w:rPr>
          <w:rFonts w:ascii="Times New Roman" w:hAnsi="Times New Roman" w:eastAsia="SimSun"/>
          <w:i/>
          <w:sz w:val="22"/>
        </w:rPr>
        <w:t>once the attacker's passages are retrieved, violating an ε-constraint costs at most $k$ replacements; whether they are retrieved is governed by the attack's relevance advantage, which is corpus- and encoder-dependent (Findings 4 and 7).</w:t>
      </w:r>
      <w:r>
        <w:rPr>
          <w:rFonts w:ascii="Times New Roman" w:hAnsi="Times New Roman" w:eastAsia="SimSun"/>
          <w:i/>
          <w:sz w:val="22"/>
        </w:rPr>
        <w:t xml:space="preserve"> The error mattered: taken at face value it predicts that injection </w:t>
      </w:r>
      <w:r>
        <w:rPr>
          <w:rFonts w:ascii="Times New Roman" w:hAnsi="Times New Roman" w:eastAsia="SimSun"/>
          <w:sz w:val="22"/>
        </w:rPr>
        <w:t>rate* is irrelevant, which our rate sweep falsifies.</w:t>
      </w:r>
    </w:p>
    <w:p>
      <w:pPr>
        <w:shd w:val="clear" w:color="auto" w:fill="DCE6F1"/>
        <w:spacing w:before="200" w:after="80"/>
      </w:pPr>
      <w:r>
        <w:rPr>
          <w:rFonts w:ascii="Times New Roman" w:hAnsi="Times New Roman" w:eastAsia="Microsoft YaHei"/>
          <w:b/>
          <w:sz w:val="26"/>
        </w:rPr>
        <w:t>6.4 Proposition 3 — the trilemma</w:t>
      </w:r>
    </w:p>
    <w:p>
      <w:r>
        <w:rPr>
          <w:rFonts w:ascii="Times New Roman" w:hAnsi="Times New Roman" w:eastAsia="SimSun"/>
          <w:b/>
          <w:sz w:val="22"/>
        </w:rPr>
        <w:t>Assumption (relevance overlap).</w:t>
      </w:r>
      <w:r>
        <w:rPr>
          <w:rFonts w:ascii="Times New Roman" w:hAnsi="Times New Roman" w:eastAsia="SimSun"/>
          <w:sz w:val="22"/>
        </w:rPr>
        <w:t xml:space="preserve"> Every injected passage admits an admissible selection: for each $a \in \mathcal{A}$ there is $\mathcal{D} \in \mathcal{P}$ with $a \in \mathcal{D}$, where $\mathcal{P}$ is the set of selections meeting a utility floor (e.g. every selected passage is within a relevance loss $\delta$ of the unconstrained top-$k$). This is the standard assumption of corpus-poisoning work and our measurements support it — the projection attack attains </w:t>
      </w:r>
      <w:r>
        <w:rPr>
          <w:rFonts w:ascii="Consolas" w:hAnsi="Consolas" w:eastAsia="Consolas"/>
          <w:sz w:val="21"/>
        </w:rPr>
        <w:t>poison@k</w:t>
      </w:r>
      <w:r>
        <w:rPr>
          <w:rFonts w:ascii="Times New Roman" w:hAnsi="Times New Roman" w:eastAsia="SimSun"/>
          <w:sz w:val="22"/>
        </w:rPr>
        <w:t xml:space="preserve"> = 1.000 on our retrievers and 0.903–1.000 on real encoders at $\rho = 0.1\%$.</w:t>
      </w:r>
    </w:p>
    <w:p>
      <w:r>
        <w:rPr>
          <w:rFonts w:ascii="Times New Roman" w:hAnsi="Times New Roman" w:eastAsia="SimSun"/>
          <w:b/>
          <w:sz w:val="22"/>
        </w:rPr>
        <w:t>Proposition 3.</w:t>
      </w:r>
      <w:r>
        <w:rPr>
          <w:rFonts w:ascii="Times New Roman" w:hAnsi="Times New Roman" w:eastAsia="SimSun"/>
          <w:sz w:val="22"/>
        </w:rPr>
        <w:t xml:space="preserve"> Under relevance overlap, for every $\varepsilon$ there exists an injection of at most $k$ passages per group that is simultaneously ε-feasible and $\mathcal{P}$-admissible.</w:t>
      </w:r>
    </w:p>
    <w:p>
      <w:r>
        <w:rPr>
          <w:rFonts w:ascii="Times New Roman" w:hAnsi="Times New Roman" w:eastAsia="SimSun"/>
          <w:i/>
          <w:sz w:val="22"/>
        </w:rPr>
        <w:t>Proof.</w:t>
      </w:r>
      <w:r>
        <w:rPr>
          <w:rFonts w:ascii="Times New Roman" w:hAnsi="Times New Roman" w:eastAsia="SimSun"/>
          <w:sz w:val="22"/>
        </w:rPr>
        <w:t xml:space="preserve"> Prop. 1 supplies an injection that is ε-feasible for all $\varepsilon$; relevance overlap supplies a $\mathcal{P}$-admissible selection containing each of its passages; the intersection is non-empty. $\square$</w:t>
      </w:r>
    </w:p>
    <w:p>
      <w:r>
        <w:rPr>
          <w:rFonts w:ascii="Times New Roman" w:hAnsi="Times New Roman" w:eastAsia="SimSun"/>
          <w:b/>
          <w:sz w:val="22"/>
        </w:rPr>
        <w:t>Consequence — the trilemma.</w:t>
      </w:r>
      <w:r>
        <w:rPr>
          <w:rFonts w:ascii="Times New Roman" w:hAnsi="Times New Roman" w:eastAsia="SimSun"/>
          <w:sz w:val="22"/>
        </w:rPr>
        <w:t xml:space="preserve"> A distribution-constrained defense faces three requirements and can satisfy at most two:</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DCE6F1"/>
          </w:tcPr>
          <w:p>
            <w:pPr>
              <w:spacing w:line="240" w:lineRule="auto" w:after="0"/>
            </w:pPr>
            <w:r>
              <w:rPr>
                <w:rFonts w:ascii="Times New Roman" w:hAnsi="Times New Roman" w:eastAsia="SimSun"/>
                <w:b/>
                <w:sz w:val="19"/>
              </w:rPr>
              <w:t>Requirement</w:t>
            </w:r>
          </w:p>
        </w:tc>
        <w:tc>
          <w:tcPr>
            <w:tcW w:type="dxa" w:w="4819"/>
            <w:shd w:val="clear" w:color="auto" w:fill="DCE6F1"/>
          </w:tcPr>
          <w:p>
            <w:pPr>
              <w:spacing w:line="240" w:lineRule="auto" w:after="0"/>
            </w:pPr>
            <w:r>
              <w:rPr>
                <w:rFonts w:ascii="Times New Roman" w:hAnsi="Times New Roman" w:eastAsia="SimSun"/>
                <w:b/>
                <w:sz w:val="19"/>
              </w:rPr>
              <w:t>Formal condition</w:t>
            </w:r>
          </w:p>
        </w:tc>
      </w:tr>
      <w:tr>
        <w:tc>
          <w:tcPr>
            <w:tcW w:type="dxa" w:w="4819"/>
          </w:tcPr>
          <w:p>
            <w:pPr>
              <w:spacing w:line="240" w:lineRule="auto" w:after="0"/>
            </w:pPr>
            <w:r>
              <w:rPr>
                <w:rFonts w:ascii="Times New Roman" w:hAnsi="Times New Roman" w:eastAsia="SimSun"/>
                <w:b/>
                <w:sz w:val="19"/>
              </w:rPr>
              <w:t>Soundness</w:t>
            </w:r>
            <w:r>
              <w:rPr>
                <w:rFonts w:ascii="Times New Roman" w:hAnsi="Times New Roman" w:eastAsia="SimSun"/>
                <w:sz w:val="19"/>
              </w:rPr>
              <w:t xml:space="preserve"> — exclude adversarial passages</w:t>
            </w:r>
          </w:p>
        </w:tc>
        <w:tc>
          <w:tcPr>
            <w:tcW w:type="dxa" w:w="4819"/>
          </w:tcPr>
          <w:p>
            <w:pPr>
              <w:spacing w:line="240" w:lineRule="auto" w:after="0"/>
            </w:pPr>
            <w:r>
              <w:rPr>
                <w:rFonts w:ascii="Times New Roman" w:hAnsi="Times New Roman" w:eastAsia="SimSun"/>
                <w:sz w:val="19"/>
              </w:rPr>
              <w:t>$\mathcal{R}_\varepsilon \cap \{\mathcal{D} : \mathcal{D}\cap\mathcal{A} \neq \emptyset\} = \emptyset$</w:t>
            </w:r>
          </w:p>
        </w:tc>
      </w:tr>
      <w:tr>
        <w:tc>
          <w:tcPr>
            <w:tcW w:type="dxa" w:w="4819"/>
          </w:tcPr>
          <w:p>
            <w:pPr>
              <w:spacing w:line="240" w:lineRule="auto" w:after="0"/>
            </w:pPr>
            <w:r>
              <w:rPr>
                <w:rFonts w:ascii="Times New Roman" w:hAnsi="Times New Roman" w:eastAsia="SimSun"/>
                <w:b/>
                <w:sz w:val="19"/>
              </w:rPr>
              <w:t>Usefulness</w:t>
            </w:r>
            <w:r>
              <w:rPr>
                <w:rFonts w:ascii="Times New Roman" w:hAnsi="Times New Roman" w:eastAsia="SimSun"/>
                <w:sz w:val="19"/>
              </w:rPr>
              <w:t xml:space="preserve"> — admit good clean selections</w:t>
            </w:r>
          </w:p>
        </w:tc>
        <w:tc>
          <w:tcPr>
            <w:tcW w:type="dxa" w:w="4819"/>
          </w:tcPr>
          <w:p>
            <w:pPr>
              <w:spacing w:line="240" w:lineRule="auto" w:after="0"/>
            </w:pPr>
            <w:r>
              <w:rPr>
                <w:rFonts w:ascii="Times New Roman" w:hAnsi="Times New Roman" w:eastAsia="SimSun"/>
                <w:sz w:val="19"/>
              </w:rPr>
              <w:t>$\mathcal{R}_\varepsilon \cap \mathcal{P} \neq \emptyset$</w:t>
            </w:r>
          </w:p>
        </w:tc>
      </w:tr>
      <w:tr>
        <w:tc>
          <w:tcPr>
            <w:tcW w:type="dxa" w:w="4819"/>
          </w:tcPr>
          <w:p>
            <w:pPr>
              <w:spacing w:line="240" w:lineRule="auto" w:after="0"/>
            </w:pPr>
            <w:r>
              <w:rPr>
                <w:rFonts w:ascii="Times New Roman" w:hAnsi="Times New Roman" w:eastAsia="SimSun"/>
                <w:b/>
                <w:sz w:val="19"/>
              </w:rPr>
              <w:t>Tightness</w:t>
            </w:r>
            <w:r>
              <w:rPr>
                <w:rFonts w:ascii="Times New Roman" w:hAnsi="Times New Roman" w:eastAsia="SimSun"/>
                <w:sz w:val="19"/>
              </w:rPr>
              <w:t xml:space="preserve"> — a non-vacuous constraint</w:t>
            </w:r>
          </w:p>
        </w:tc>
        <w:tc>
          <w:tcPr>
            <w:tcW w:type="dxa" w:w="4819"/>
          </w:tcPr>
          <w:p>
            <w:pPr>
              <w:spacing w:line="240" w:lineRule="auto" w:after="0"/>
            </w:pPr>
            <w:r>
              <w:rPr>
                <w:rFonts w:ascii="Times New Roman" w:hAnsi="Times New Roman" w:eastAsia="SimSun"/>
                <w:sz w:val="19"/>
              </w:rPr>
              <w:t>$\varepsilon &lt; 1$</w:t>
            </w:r>
          </w:p>
        </w:tc>
      </w:tr>
    </w:tbl>
    <w:p/>
    <w:p>
      <w:r>
        <w:rPr>
          <w:rFonts w:ascii="Times New Roman" w:hAnsi="Times New Roman" w:eastAsia="SimSun"/>
          <w:sz w:val="22"/>
        </w:rPr>
        <w:t>Soundness fails for every $\varepsilon$ whenever the attacker can construct an ε-feasible injection — which requires only knowledge of $p^{*}$ and $\varepsilon$, both public for an auditable defense. So a defense must either (i) accept adversarial passages, (ii) restrict $\mathcal{R}_\varepsilon$ so severely that $\mathcal{R}_\varepsilon \cap \mathcal{P}$ shrinks or empties, sacrificing Usefulness, or (iii) set $\varepsilon$ so large the constraint is vacuous, sacrificing Tightness.</w:t>
      </w:r>
    </w:p>
    <w:p>
      <w:r>
        <w:rPr>
          <w:rFonts w:ascii="Times New Roman" w:hAnsi="Times New Roman" w:eastAsia="SimSun"/>
          <w:b/>
          <w:sz w:val="22"/>
        </w:rPr>
        <w:t>This is the formal content of the paper's central claim, and our experiments land on all three horns.</w:t>
      </w:r>
      <w:r>
        <w:rPr>
          <w:rFonts w:ascii="Times New Roman" w:hAnsi="Times New Roman" w:eastAsia="SimSun"/>
          <w:sz w:val="22"/>
        </w:rPr>
        <w:t xml:space="preserve"> (i) Soundness fails: </w:t>
      </w:r>
      <w:r>
        <w:rPr>
          <w:rFonts w:ascii="Consolas" w:hAnsi="Consolas" w:eastAsia="Consolas"/>
          <w:sz w:val="21"/>
        </w:rPr>
        <w:t>poison@k</w:t>
      </w:r>
      <w:r>
        <w:rPr>
          <w:rFonts w:ascii="Times New Roman" w:hAnsi="Times New Roman" w:eastAsia="SimSun"/>
          <w:sz w:val="22"/>
        </w:rPr>
        <w:t xml:space="preserve"> equals no defense at every $\varepsilon$, on six retrievers, two corpora and all injection rates. (ii) Usefulness is squeezed: tightening the R1 budget to $\varepsilon=0$ on the controlled corpus changes </w:t>
      </w:r>
      <w:r>
        <w:rPr>
          <w:rFonts w:ascii="Consolas" w:hAnsi="Consolas" w:eastAsia="Consolas"/>
          <w:sz w:val="21"/>
        </w:rPr>
        <w:t>in_pool_rate</w:t>
      </w:r>
      <w:r>
        <w:rPr>
          <w:rFonts w:ascii="Times New Roman" w:hAnsi="Times New Roman" w:eastAsia="SimSun"/>
          <w:sz w:val="22"/>
        </w:rPr>
        <w:t xml:space="preserve"> from 0.017 to 0.088 with no security gain, and on the dense back-end from 0.2437 to 0.2812 — i.e. the constraint perturbs the selection without excluding anything. (iii) Tightness is vacuous at $\varepsilon = 1$, where the constraint reduces to no defense by construction.</w:t>
      </w:r>
    </w:p>
    <w:p>
      <w:pPr>
        <w:shd w:val="clear" w:color="auto" w:fill="DCE6F1"/>
        <w:spacing w:before="200" w:after="80"/>
      </w:pPr>
      <w:r>
        <w:rPr>
          <w:rFonts w:ascii="Times New Roman" w:hAnsi="Times New Roman" w:eastAsia="Microsoft YaHei"/>
          <w:b/>
          <w:sz w:val="26"/>
        </w:rPr>
        <w:t>6.5 Proposition 4 — why the family is *structurally* exposed, not merely mis-tuned</w:t>
      </w:r>
    </w:p>
    <w:p>
      <w:r>
        <w:rPr>
          <w:rFonts w:ascii="Times New Roman" w:hAnsi="Times New Roman" w:eastAsia="SimSun"/>
          <w:sz w:val="22"/>
        </w:rPr>
        <w:t xml:space="preserve">Propositions 1–3 show that a distribution constraint cannot exclude the injection. A reader may reasonably ask whether that is a property of </w:t>
      </w:r>
      <w:r>
        <w:rPr>
          <w:rFonts w:ascii="Times New Roman" w:hAnsi="Times New Roman" w:eastAsia="SimSun"/>
          <w:i/>
          <w:sz w:val="22"/>
        </w:rPr>
        <w:t>composition</w:t>
      </w:r>
      <w:r>
        <w:rPr>
          <w:rFonts w:ascii="Times New Roman" w:hAnsi="Times New Roman" w:eastAsia="SimSun"/>
          <w:sz w:val="22"/>
        </w:rPr>
        <w:t xml:space="preserve"> constraints specifically, or of this defense family more broadly — and in particular whether the non-compositional members, which the literature presents as the more robust alternatives, escape it. They do not, and the reason is worth stating separately because it covers the family as a whole.</w:t>
      </w:r>
    </w:p>
    <w:p>
      <w:r>
        <w:rPr>
          <w:rFonts w:ascii="Times New Roman" w:hAnsi="Times New Roman" w:eastAsia="SimSun"/>
          <w:b/>
          <w:sz w:val="22"/>
        </w:rPr>
        <w:t>Proposition 4 (randomised defense under a known distribution).</w:t>
      </w:r>
      <w:r>
        <w:rPr>
          <w:rFonts w:ascii="Times New Roman" w:hAnsi="Times New Roman" w:eastAsia="SimSun"/>
          <w:sz w:val="22"/>
        </w:rPr>
        <w:t xml:space="preserve"> Let a defense's selection mechanism be a fixed distribution $\pi(\mathcal{D} \mid q, \mathcal{C})$ over retrieved sets, public to the attacker, and let $U(\mathcal{D})$ be the attacker's utility (e.g. the indicator that $\mathcal{D}$ contains an injected passage). If any set in the support of $\pi$ has $U = 1$, the attacker can drive $\mathbb{E}_{\pi}[U] \to 1$ by choosing an injection that places adversarial passages in every set with non-negligible probability mass.</w:t>
      </w:r>
    </w:p>
    <w:p>
      <w:r>
        <w:rPr>
          <w:rFonts w:ascii="Times New Roman" w:hAnsi="Times New Roman" w:eastAsia="SimSun"/>
          <w:i/>
          <w:sz w:val="22"/>
        </w:rPr>
        <w:t>Proof sketch.</w:t>
      </w:r>
      <w:r>
        <w:rPr>
          <w:rFonts w:ascii="Times New Roman" w:hAnsi="Times New Roman" w:eastAsia="SimSun"/>
          <w:sz w:val="22"/>
        </w:rPr>
        <w:t xml:space="preserve"> Since $\pi$ is fixed and known, $\mathbb{E}_\pi[U]$ is computable in closed form as a function of the injection, and the attacker maximises it by search or by gradient. Randomisation does not bound $\mathbb{E}_\pi[U]$; it bounds the </w:t>
      </w:r>
      <w:r>
        <w:rPr>
          <w:rFonts w:ascii="Times New Roman" w:hAnsi="Times New Roman" w:eastAsia="SimSun"/>
          <w:i/>
          <w:sz w:val="22"/>
        </w:rPr>
        <w:t>variance</w:t>
      </w:r>
      <w:r>
        <w:rPr>
          <w:rFonts w:ascii="Times New Roman" w:hAnsi="Times New Roman" w:eastAsia="SimSun"/>
          <w:sz w:val="22"/>
        </w:rPr>
        <w:t xml:space="preserve"> of $U$ across realisations. An attacker whose success is measured in expectation over queries — the usual case — is indifferent to that variance.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defends against unpredictability, not against knowledge.</w:t>
      </w:r>
      <w:r>
        <w:rPr>
          <w:rFonts w:ascii="Times New Roman" w:hAnsi="Times New Roman" w:eastAsia="SimSun"/>
          <w:sz w:val="22"/>
        </w:rPr>
        <w:t xml:space="preserve"> Two corollaries identify the cases that arise in this literature.</w:t>
      </w:r>
    </w:p>
    <w:p>
      <w:r>
        <w:rPr>
          <w:rFonts w:ascii="Times New Roman" w:hAnsi="Times New Roman" w:eastAsia="SimSun"/>
          <w:b/>
          <w:sz w:val="22"/>
        </w:rPr>
        <w:t>Corollary 1 (public-distribution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its </w:t>
      </w:r>
      <w:r>
        <w:rPr>
          <w:rFonts w:ascii="Times New Roman" w:hAnsi="Times New Roman" w:eastAsia="SimSun"/>
          <w:i/>
          <w:sz w:val="22"/>
        </w:rPr>
        <w:t>count</w:t>
      </w:r>
      <w:r>
        <w:rPr>
          <w:rFonts w:ascii="Times New Roman" w:hAnsi="Times New Roman" w:eastAsia="SimSun"/>
          <w:sz w:val="22"/>
        </w:rPr>
        <w:t xml:space="preserve"> are public constants, so the expected aggregate score of a passage is a deterministic, differentiable function of the injected embedding which the attacker can maximise directly. Adding variants does not change this: the attacker optimises the expectation, and with many variants the empirical mean converges to it. The adaptive sweep reports the predicted collapse, from 0.729 at $\lambda = 0$ to 1.000 by $\lambda = 0.5$.</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computable from public information hands the attacker the constraint "remain in the low-penalty region". Whenever that constraint can be satisfied while raising similarity — possible whenever the penalty is a continuous function of a perturbation the attacker controls — the defense imposes a </w:t>
      </w:r>
      <w:r>
        <w:rPr>
          <w:rFonts w:ascii="Times New Roman" w:hAnsi="Times New Roman" w:eastAsia="SimSun"/>
          <w:i/>
          <w:sz w:val="22"/>
        </w:rPr>
        <w:t>cost</w:t>
      </w:r>
      <w:r>
        <w:rPr>
          <w:rFonts w:ascii="Times New Roman" w:hAnsi="Times New Roman" w:eastAsia="SimSun"/>
          <w:sz w:val="22"/>
        </w:rPr>
        <w:t xml:space="preserve"> rather than a </w:t>
      </w:r>
      <w:r>
        <w:rPr>
          <w:rFonts w:ascii="Times New Roman" w:hAnsi="Times New Roman" w:eastAsia="SimSun"/>
          <w:i/>
          <w:sz w:val="22"/>
        </w:rPr>
        <w:t>barrier</w:t>
      </w:r>
      <w:r>
        <w:rPr>
          <w:rFonts w:ascii="Times New Roman" w:hAnsi="Times New Roman" w:eastAsia="SimSun"/>
          <w:sz w:val="22"/>
        </w:rPr>
        <w:t>. Off-manifold filtering is exactly this case, and the measured consequence is that it is the strongest defense statically (0.250 against 0.750 for no defense) and is defeated by $\lambda = 0.25$.</w:t>
      </w:r>
    </w:p>
    <w:p>
      <w:r>
        <w:rPr>
          <w:rFonts w:ascii="Times New Roman" w:hAnsi="Times New Roman" w:eastAsia="SimSun"/>
          <w:sz w:val="22"/>
        </w:rPr>
        <w:t xml:space="preserve">We do not claim these observations are novel in general; they are the standard reason adaptive evaluation is required, and they are why security venues expect it. The claim is that </w:t>
      </w:r>
      <w:r>
        <w:rPr>
          <w:rFonts w:ascii="Times New Roman" w:hAnsi="Times New Roman" w:eastAsia="SimSun"/>
          <w:b/>
          <w:sz w:val="22"/>
        </w:rPr>
        <w:t>this defense family is structurally exposed to them</w:t>
      </w:r>
      <w:r>
        <w:rPr>
          <w:rFonts w:ascii="Times New Roman" w:hAnsi="Times New Roman" w:eastAsia="SimSun"/>
          <w:sz w:val="22"/>
        </w:rPr>
        <w:t>, because its two dominant mechanisms — public randomisation and an observable penalty — are precisely the two cases the proposition covers. Proposition 3 then explains why the remaining members fail for an independent reason, so the family is squeezed from both sides: composition constraints cannot exclude an individually admissible passage, and the non-compositional alternatives are defeated by an informed attacker. That is why we treat the failure as structural rather than as a matter of tuning, and why the honest remedy is detection (§6.6) rather than a better objective.</w:t>
      </w:r>
    </w:p>
    <w:p>
      <w:pPr>
        <w:shd w:val="clear" w:color="auto" w:fill="DCE6F1"/>
        <w:spacing w:before="200" w:after="80"/>
      </w:pPr>
      <w:r>
        <w:rPr>
          <w:rFonts w:ascii="Times New Roman" w:hAnsi="Times New Roman" w:eastAsia="Microsoft YaHei"/>
          <w:b/>
          <w:sz w:val="26"/>
        </w:rPr>
        <w:t>6.6 Dimensionality does not help, and the only escape is individual-level evidence</w:t>
      </w:r>
    </w:p>
    <w:p>
      <w:r>
        <w:rPr>
          <w:rFonts w:ascii="Times New Roman" w:hAnsi="Times New Roman" w:eastAsia="SimSun"/>
          <w:sz w:val="22"/>
        </w:rPr>
        <w:t>Two consequences of the above are the actionable content of this section.</w:t>
      </w:r>
    </w:p>
    <w:p>
      <w:r>
        <w:rPr>
          <w:rFonts w:ascii="Times New Roman" w:hAnsi="Times New Roman" w:eastAsia="SimSun"/>
          <w:b/>
          <w:sz w:val="22"/>
        </w:rPr>
        <w:t>(a) Adding dimensions does not shrink the admissible set usefully.</w:t>
      </w:r>
      <w:r>
        <w:rPr>
          <w:rFonts w:ascii="Times New Roman" w:hAnsi="Times New Roman" w:eastAsia="SimSun"/>
          <w:sz w:val="22"/>
        </w:rPr>
        <w:t xml:space="preserve"> Extending the constraint from R1 to R2 to $m$ dimensions does not remove adversarial selections from $\mathcal{R}$; it gives the attacker more statistics to match, all of them computable from the public references. Prop. 1 applies verbatim with $\mathcal{R}$ the $m$-dimensional feasible set. The attacker's cost rises, their </w:t>
      </w:r>
      <w:r>
        <w:rPr>
          <w:rFonts w:ascii="Times New Roman" w:hAnsi="Times New Roman" w:eastAsia="SimSun"/>
          <w:i/>
          <w:sz w:val="22"/>
        </w:rPr>
        <w:t>feasibility</w:t>
      </w:r>
      <w:r>
        <w:rPr>
          <w:rFonts w:ascii="Times New Roman" w:hAnsi="Times New Roman" w:eastAsia="SimSun"/>
          <w:sz w:val="22"/>
        </w:rPr>
        <w:t xml:space="preserve"> does not fall — and since Prop. 2 bounds the cost by $k$, the rise is cheap.</w:t>
      </w:r>
    </w:p>
    <w:p>
      <w:r>
        <w:rPr>
          <w:rFonts w:ascii="Times New Roman" w:hAnsi="Times New Roman" w:eastAsia="SimSun"/>
          <w:b/>
          <w:sz w:val="22"/>
        </w:rPr>
        <w:t>(b) The only escape is evidence about individual passages.</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aggregate. In the adversarial setting this is a provenance question, answerable only from traces the attacker's optimisation leaves behind. §7 reports one candidate and its validity threat.</w:t>
      </w:r>
    </w:p>
    <w:p>
      <w:r>
        <w:rPr>
          <w:rFonts w:ascii="Times New Roman" w:hAnsi="Times New Roman" w:eastAsia="SimSun"/>
          <w:sz w:val="22"/>
        </w:rPr>
        <w:t xml:space="preserve">This reframes the problem. Prior work in this area is an </w:t>
      </w:r>
      <w:r>
        <w:rPr>
          <w:rFonts w:ascii="Times New Roman" w:hAnsi="Times New Roman" w:eastAsia="SimSun"/>
          <w:b/>
          <w:sz w:val="22"/>
        </w:rPr>
        <w:t>optimisation</w:t>
      </w:r>
      <w:r>
        <w:rPr>
          <w:rFonts w:ascii="Times New Roman" w:hAnsi="Times New Roman" w:eastAsia="SimSun"/>
          <w:sz w:val="22"/>
        </w:rPr>
        <w:t xml:space="preserve"> problem — which composition is fairest, and how to reach it. Under an adversary it becomes a </w:t>
      </w:r>
      <w:r>
        <w:rPr>
          <w:rFonts w:ascii="Times New Roman" w:hAnsi="Times New Roman" w:eastAsia="SimSun"/>
          <w:b/>
          <w:sz w:val="22"/>
        </w:rPr>
        <w:t>detection</w:t>
      </w:r>
      <w:r>
        <w:rPr>
          <w:rFonts w:ascii="Times New Roman" w:hAnsi="Times New Roman" w:eastAsia="SimSun"/>
          <w:sz w:val="22"/>
        </w:rPr>
        <w:t xml:space="preserve"> problem, and §5.3 shows the two are not interchangeable: a defense can improve its fairness objective while its security objective is untouched. Prop. 3 is the reason the optimisation framing cannot be repaired by tuning: the failure is not at the optimum, it is in the feasible set.</w:t>
      </w:r>
    </w:p>
    <w:p>
      <w:r>
        <w:rPr>
          <w:rFonts w:ascii="Times New Roman" w:hAnsi="Times New Roman" w:eastAsia="SimSun"/>
          <w:b/>
          <w:sz w:val="22"/>
        </w:rPr>
        <w:t>What this analysis does not establish.</w:t>
      </w:r>
      <w:r>
        <w:rPr>
          <w:rFonts w:ascii="Times New Roman" w:hAnsi="Times New Roman" w:eastAsia="SimSun"/>
          <w:sz w:val="22"/>
        </w:rPr>
        <w:t xml:space="preserve"> Prop. 3 rests on the relevance-overlap assumption, which we support empirically but do not prove. A defense able to certify that an injected passage is </w:t>
      </w:r>
      <w:r>
        <w:rPr>
          <w:rFonts w:ascii="Times New Roman" w:hAnsi="Times New Roman" w:eastAsia="SimSun"/>
          <w:i/>
          <w:sz w:val="22"/>
        </w:rPr>
        <w:t>not</w:t>
      </w:r>
      <w:r>
        <w:rPr>
          <w:rFonts w:ascii="Times New Roman" w:hAnsi="Times New Roman" w:eastAsia="SimSun"/>
          <w:sz w:val="22"/>
        </w:rPr>
        <w:t xml:space="preserve"> δ-competitive — for instance by proving a relevance upper bound for it — would escape the trilemma, and we know of no such defense in this literature. Constructing one is, in our view, the most promising direction this analysis opens. Prop. 2's bound also assumes replacement, i.e. that injected passages out-rank those they displace; when they do not the bound is vacuous rather than wrong, which is exactly the corpus- and encoder-dependence documented in Findings 4 and 7. Finally, the analysis is pointwise in the query; a defense enforcing the constraint in expectation across queries has more room than the version analysed here, though ours are pointwise, so the measurements are unaffected.</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What the failure is, and what it is not.</w:t>
      </w:r>
      <w:r>
        <w:rPr>
          <w:rFonts w:ascii="Times New Roman" w:hAnsi="Times New Roman" w:eastAsia="SimSun"/>
          <w:sz w:val="22"/>
        </w:rPr>
        <w:t xml:space="preserve"> Our results do not show that existing fairness defenses are implemented incorrectly, nor that their reported gains are illusory in the setting they target. They show something narrower and, we think, more useful: the statistic each defense optimises is insensitive to the adversary that motivates the defense. Concretely, [5]'s optimisation, [6]'s proportion adjustment, [7]'s embedder control, and [8]'s exposure equalisation all act on aggregate composition. Under natural corpus skew — the setting those works study — this is appropriate, and their improvements are real. Under an adversary, §5.2 shows the same machinery leaves adversarial inclusion unchanged, and §6 shows why no refinement along that axis can change it. The distinction matters for how the field reads this result: the claim is about </w:t>
      </w:r>
      <w:r>
        <w:rPr>
          <w:rFonts w:ascii="Times New Roman" w:hAnsi="Times New Roman" w:eastAsia="SimSun"/>
          <w:b/>
          <w:sz w:val="22"/>
        </w:rPr>
        <w:t>evaluation validity</w:t>
      </w:r>
      <w:r>
        <w:rPr>
          <w:rFonts w:ascii="Times New Roman" w:hAnsi="Times New Roman" w:eastAsia="SimSun"/>
          <w:sz w:val="22"/>
        </w:rPr>
        <w:t>, and it implies a change in what gets measured rather than a rewrite of what has been built.</w:t>
      </w:r>
    </w:p>
    <w:p>
      <w:r>
        <w:rPr>
          <w:rFonts w:ascii="Times New Roman" w:hAnsi="Times New Roman" w:eastAsia="SimSun"/>
          <w:b/>
          <w:sz w:val="22"/>
        </w:rPr>
        <w:t>An error we made twice, and why that is the point.</w:t>
      </w:r>
      <w:r>
        <w:rPr>
          <w:rFonts w:ascii="Times New Roman" w:hAnsi="Times New Roman" w:eastAsia="SimSun"/>
          <w:sz w:val="22"/>
        </w:rPr>
        <w:t xml:space="preserve"> §3.2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that error, corrected it by adopting the cross-group gap, and then made a second error of the same family one level up in §5.7: the cross-group gap is itself an absolute difference, and it is blind to an attack that relocates both groups rather than separating them. Both errors share a signature that makes them dangerous — they return a plausible, healthy-looking number rather than an obviously wrong one. We therefore make two recommendations rather than one. Any stance-style metric should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it responds to a known attack; and where a metric is computed as a difference between two groups, the per-group values should be reported alongside it, because the difference can be flat while both components move a long way.</w:t>
      </w:r>
    </w:p>
    <w:p>
      <w:r>
        <w:rPr>
          <w:rFonts w:ascii="Times New Roman" w:hAnsi="Times New Roman" w:eastAsia="SimSun"/>
          <w:b/>
          <w:sz w:val="22"/>
        </w:rPr>
        <w:t>Adversarial evaluation is a measurement problem before it is a defense problem.</w:t>
      </w:r>
      <w:r>
        <w:rPr>
          <w:rFonts w:ascii="Times New Roman" w:hAnsi="Times New Roman" w:eastAsia="SimSun"/>
          <w:sz w:val="22"/>
        </w:rPr>
        <w:t xml:space="preserve"> Taken together, the failures in this paper — a composition statistic that counts what the attack balances, a reference-based statistic that measures topic rather than stance, an absolute difference that cancels a joint shift, a self-report attribution probe that a model answers affirmatively by construction, an entailment convention whose reversed form returns zeros, and a null reported without an equivalence bound — are all failures of instrument rather than of method. None of them would be caught by improving an attack or a defense. We suspect this generalises beyond retrieval fairness: any evaluation whose statistic is an aggregate over the quantity an adversary controls is vulnerable to the same class of error. The mitigation that worked here was mechanical rather than conceptual — a control that flips the signal and checks the statistic moves, an equivalence bound on every null, and a per-component report for every difference.</w:t>
      </w:r>
    </w:p>
    <w:p>
      <w:r>
        <w:rPr>
          <w:rFonts w:ascii="Times New Roman" w:hAnsi="Times New Roman" w:eastAsia="SimSun"/>
          <w:b/>
          <w:sz w:val="22"/>
        </w:rPr>
        <w:t>The three failure modes, and what each one predicts about work we did not run.</w:t>
      </w:r>
      <w:r>
        <w:rPr>
          <w:rFonts w:ascii="Times New Roman" w:hAnsi="Times New Roman" w:eastAsia="SimSun"/>
          <w:sz w:val="22"/>
        </w:rPr>
        <w:t xml:space="preserve"> §3.4 stated the taxonomy from the form of the statistics; §5 confirmed it on measurements. Collecting the confirmations makes the framework's reach explicit, including for defenses we did not implement.</w:t>
      </w:r>
    </w:p>
    <w:p>
      <w:r>
        <w:rPr>
          <w:rFonts w:ascii="Times New Roman" w:hAnsi="Times New Roman" w:eastAsia="SimSun"/>
          <w:i/>
          <w:sz w:val="22"/>
        </w:rPr>
        <w:t>F1, balanced count.</w:t>
      </w:r>
      <w:r>
        <w:rPr>
          <w:rFonts w:ascii="Times New Roman" w:hAnsi="Times New Roman" w:eastAsia="SimSun"/>
          <w:sz w:val="22"/>
        </w:rPr>
        <w:t xml:space="preserve"> Confirmed twice: the R1 statistics are invariant under pairwise injection (§5.1), and the positive control shows the same statistics detect a 3000-passage composition change with the corpus size held fixed (Table 1). So the invariance is a property of the attack, not the instrument. </w:t>
      </w:r>
      <w:r>
        <w:rPr>
          <w:rFonts w:ascii="Times New Roman" w:hAnsi="Times New Roman" w:eastAsia="SimSun"/>
          <w:b/>
          <w:sz w:val="22"/>
        </w:rPr>
        <w:t>The prediction for work we did not run</w:t>
      </w:r>
      <w:r>
        <w:rPr>
          <w:rFonts w:ascii="Times New Roman" w:hAnsi="Times New Roman" w:eastAsia="SimSun"/>
          <w:sz w:val="22"/>
        </w:rPr>
        <w:t>: any defense whose objective is a group count or share — the re-ranking of [5], the proportion adjustment of [6], the embedder control of [7], the exposure equalisation of [8] — inherits this invariance exactly, without regard to how well it is optimised, because the injection is constructed to satisfy whatever composition the defense prefers. Our measurements on re-implementations of that objective support this and we have no reason to expect a different outcome from a better-optimised version of the same statistic.</w:t>
      </w:r>
    </w:p>
    <w:p>
      <w:r>
        <w:rPr>
          <w:rFonts w:ascii="Times New Roman" w:hAnsi="Times New Roman" w:eastAsia="SimSun"/>
          <w:i/>
          <w:sz w:val="22"/>
        </w:rPr>
        <w:t>F2, preserved nuisance.</w:t>
      </w:r>
      <w:r>
        <w:rPr>
          <w:rFonts w:ascii="Times New Roman" w:hAnsi="Times New Roman" w:eastAsia="SimSun"/>
          <w:sz w:val="22"/>
        </w:rPr>
        <w:t xml:space="preserve"> Confirmed twice, and the second confirmation is the stronger one: </w:t>
      </w:r>
      <w:r>
        <w:rPr>
          <w:rFonts w:ascii="Consolas" w:hAnsi="Consolas" w:eastAsia="Consolas"/>
          <w:sz w:val="21"/>
        </w:rPr>
        <w:t>stance_div</w:t>
      </w:r>
      <w:r>
        <w:rPr>
          <w:rFonts w:ascii="Times New Roman" w:hAnsi="Times New Roman" w:eastAsia="SimSun"/>
          <w:sz w:val="22"/>
        </w:rPr>
        <w:t xml:space="preserve"> and </w:t>
      </w:r>
      <w:r>
        <w:rPr>
          <w:rFonts w:ascii="Consolas" w:hAnsi="Consolas" w:eastAsia="Consolas"/>
          <w:sz w:val="21"/>
        </w:rPr>
        <w:t>stance_onesided</w:t>
      </w:r>
      <w:r>
        <w:rPr>
          <w:rFonts w:ascii="Times New Roman" w:hAnsi="Times New Roman" w:eastAsia="SimSun"/>
          <w:sz w:val="22"/>
        </w:rPr>
        <w:t xml:space="preserve"> are flat across the clean and fully attacked conditions (§5.1), </w:t>
      </w:r>
      <w:r>
        <w:rPr>
          <w:rFonts w:ascii="Times New Roman" w:hAnsi="Times New Roman" w:eastAsia="SimSun"/>
          <w:i/>
          <w:sz w:val="22"/>
        </w:rPr>
        <w:t>and</w:t>
      </w:r>
      <w:r>
        <w:rPr>
          <w:rFonts w:ascii="Times New Roman" w:hAnsi="Times New Roman" w:eastAsia="SimSun"/>
          <w:sz w:val="22"/>
        </w:rPr>
        <w:t xml:space="preserve"> they are flat across the positive control where the true composition swings from 0.022 to 0.978 (Table 1). A statistic that does not move when the ground truth moves will not move for an adversary either. </w:t>
      </w:r>
      <w:r>
        <w:rPr>
          <w:rFonts w:ascii="Times New Roman" w:hAnsi="Times New Roman" w:eastAsia="SimSun"/>
          <w:b/>
          <w:sz w:val="22"/>
        </w:rPr>
        <w:t>The prediction</w:t>
      </w:r>
      <w:r>
        <w:rPr>
          <w:rFonts w:ascii="Times New Roman" w:hAnsi="Times New Roman" w:eastAsia="SimSun"/>
          <w:sz w:val="22"/>
        </w:rPr>
        <w:t>: any metric anchored to a per-query clean retrieval or a corpus-level rate is measuring the query's topic conditioning, which the attack preserves by construction, so evaluations that report such a metric alongside a clean baseline are reporting a quantity orthogonal to the threat.</w:t>
      </w:r>
    </w:p>
    <w:p>
      <w:r>
        <w:rPr>
          <w:rFonts w:ascii="Times New Roman" w:hAnsi="Times New Roman" w:eastAsia="SimSun"/>
          <w:i/>
          <w:sz w:val="22"/>
        </w:rPr>
        <w:t>F3, cancelled shift.</w:t>
      </w:r>
      <w:r>
        <w:rPr>
          <w:rFonts w:ascii="Times New Roman" w:hAnsi="Times New Roman" w:eastAsia="SimSun"/>
          <w:sz w:val="22"/>
        </w:rPr>
        <w:t xml:space="preserve"> Confirmed at two layers, and this is the one we got wrong ourselves: the cross-group gap is blind to the retrieval-layer attack (§5.1) and to the generation-layer attack (§5.7), and on the generation layer our first analysis used it anyway and reported a null. </w:t>
      </w:r>
      <w:r>
        <w:rPr>
          <w:rFonts w:ascii="Times New Roman" w:hAnsi="Times New Roman" w:eastAsia="SimSun"/>
          <w:b/>
          <w:sz w:val="22"/>
        </w:rPr>
        <w:t>The prediction</w:t>
      </w:r>
      <w:r>
        <w:rPr>
          <w:rFonts w:ascii="Times New Roman" w:hAnsi="Times New Roman" w:eastAsia="SimSun"/>
          <w:sz w:val="22"/>
        </w:rPr>
        <w:t>: any difference, gap or variance across groups is invariant under a common-mode move, so a defense or an evaluation that reports only a gap will under-report any attack that relocates groups together rather than separating them — which is what a matched-pair injection does by construction.</w:t>
      </w:r>
    </w:p>
    <w:p>
      <w:r>
        <w:rPr>
          <w:rFonts w:ascii="Times New Roman" w:hAnsi="Times New Roman" w:eastAsia="SimSun"/>
          <w:sz w:val="22"/>
        </w:rPr>
        <w:t>The three modes also compose, which is why the defense family fails as a family rather than in parts. F1 accounts for the composition-constrained members; §6.4 proves that no refinement along that axis escapes it. F3 accounts for the non-compositional members that report a group difference. And §6.5 shows the remaining mechanisms — public randomisation and an observable penalty — fail for a fourth reason that is not a measurement failure at all: an informed attacker optimises the expectation of a public distribution, and treats a computable penalty as a constraint rather than a barrier.</w:t>
      </w:r>
    </w:p>
    <w:p>
      <w:r>
        <w:rPr>
          <w:rFonts w:ascii="Times New Roman" w:hAnsi="Times New Roman" w:eastAsia="SimSun"/>
          <w:b/>
          <w:sz w:val="22"/>
        </w:rPr>
        <w:t>The constructive half.</w:t>
      </w:r>
      <w:r>
        <w:rPr>
          <w:rFonts w:ascii="Times New Roman" w:hAnsi="Times New Roman" w:eastAsia="SimSun"/>
          <w:sz w:val="22"/>
        </w:rPr>
        <w:t xml:space="preserve"> A taxonomy of failure modes is only useful if something escapes it, and the three modes share one structural feature: each is an invariance of an </w:t>
      </w:r>
      <w:r>
        <w:rPr>
          <w:rFonts w:ascii="Times New Roman" w:hAnsi="Times New Roman" w:eastAsia="SimSun"/>
          <w:i/>
          <w:sz w:val="22"/>
        </w:rPr>
        <w:t>aggregation</w:t>
      </w:r>
      <w:r>
        <w:rPr>
          <w:rFonts w:ascii="Times New Roman" w:hAnsi="Times New Roman" w:eastAsia="SimSun"/>
          <w:sz w:val="22"/>
        </w:rPr>
        <w:t xml:space="preserve"> over groups. Reporting the per-group quantities $\phi_g$ and their paired changes is not invariant under any of the three, because it makes no aggregation claim for the adversary to preserve. That is a cheap change to how a result is reported, it requires no new defense, and §5.7 is an existence proof that it works: on identical retrieval conditions, the aggregated gap moved by 0.002 while the per-group levels moved by 0.13 at $p &lt; 0.01$. The recommendation is therefore not "build a better defense metric" but "stop reporting only the aggregate".</w:t>
      </w:r>
    </w:p>
    <w:p>
      <w:r>
        <w:rPr>
          <w:rFonts w:ascii="Times New Roman" w:hAnsi="Times New Roman" w:eastAsia="SimSun"/>
          <w:b/>
          <w:sz w:val="22"/>
        </w:rPr>
        <w:t>A caveat we insist on, and a worked example of it from this paper.</w:t>
      </w:r>
      <w:r>
        <w:rPr>
          <w:rFonts w:ascii="Times New Roman" w:hAnsi="Times New Roman" w:eastAsia="SimSun"/>
          <w:sz w:val="22"/>
        </w:rPr>
        <w:t xml:space="preserve"> The per-group report is more sensitive than an aggregate, and sensitivity is not validity. The clearest example is our own: the free-form probe reports a large, replicated per-group shift on the controlled corpus and nothing on the naturally written one, and it would have been easy to publish that as a finding about corpora. It is not — the probe scores answers that take no position in 99.0% of cases on natural text, so it was structurally incapable of reporting the effect that a commitment-forcing probe then found there. An instrument that manufactures commitment will report an effect where there is none; an instrument that suppresses it will report a null that does not exist. We hit the second case, and the control that caught it was measuring commitment rather than trusting the margin. We therefore report both probes and both corpora, and treat the disagreement between them as the result.</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exactly known reference, and a naturally written bias benchmark. We flag this as an open problem rather than a gap in the present study.</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 and what the scale check changed.</w:t>
      </w:r>
      <w:r>
        <w:rPr>
          <w:rFonts w:ascii="Times New Roman" w:hAnsi="Times New Roman" w:eastAsia="SimSun"/>
          <w:sz w:val="22"/>
        </w:rPr>
        <w:t xml:space="preserve"> Nine retrievers are evaluated: BM25, a self-contained feature-hashing dense retriever, SPLADE and SPLADE-large, and five dense semantic encoders — GTE-base, GTE-large, Contriever, E5-base-v2 and E5-large-v2 (§5.5, §5.6). An earlier draft of this paper listed the large checkpoints as "to be added" and </w:t>
      </w:r>
      <w:r>
        <w:rPr>
          <w:rFonts w:ascii="Times New Roman" w:hAnsi="Times New Roman" w:eastAsia="SimSun"/>
          <w:i/>
          <w:sz w:val="22"/>
        </w:rPr>
        <w:t>predicted</w:t>
      </w:r>
      <w:r>
        <w:rPr>
          <w:rFonts w:ascii="Times New Roman" w:hAnsi="Times New Roman" w:eastAsia="SimSun"/>
          <w:sz w:val="22"/>
        </w:rPr>
        <w:t xml:space="preserve"> that they would disagree with the base models. We have since measured it and report the correction: the prediction was right in direction and far too weak in magnitude, since </w:t>
      </w:r>
      <w:r>
        <w:rPr>
          <w:rFonts w:ascii="Times New Roman" w:hAnsi="Times New Roman" w:eastAsia="SimSun"/>
          <w:b/>
          <w:sz w:val="22"/>
        </w:rPr>
        <w:t>GTE-base → GTE-large moves from 0.0625 to 0.5000 — an eight-fold increase in susceptibility within a single encoder family and training recipe.</w:t>
      </w:r>
      <w:r>
        <w:rPr>
          <w:rFonts w:ascii="Times New Roman" w:hAnsi="Times New Roman" w:eastAsia="SimSun"/>
          <w:sz w:val="22"/>
        </w:rPr>
        <w:t xml:space="preserve"> That has three consequences for how this study should be read. First, feature-hashing dense retrieval retains the lexical attack surface and should not be read as a stand-in for a semantic encoder. Second, text-attack effectiveness varies </w:t>
      </w:r>
      <w:r>
        <w:rPr>
          <w:rFonts w:ascii="Times New Roman" w:hAnsi="Times New Roman" w:eastAsia="SimSun"/>
          <w:b/>
          <w:sz w:val="22"/>
        </w:rPr>
        <w:t>nine-fold across the base dense encoders alone</w:t>
      </w:r>
      <w:r>
        <w:rPr>
          <w:rFonts w:ascii="Times New Roman" w:hAnsi="Times New Roman" w:eastAsia="SimSun"/>
          <w:sz w:val="22"/>
        </w:rPr>
        <w:t xml:space="preserve"> (Contriever 0.5625 versus GTE-base and E5-base-v2 at 0.0625) and the susceptible one is the encoder used by the fair-ranking work we compare against [8]. Third, and most importantly, </w:t>
      </w:r>
      <w:r>
        <w:rPr>
          <w:rFonts w:ascii="Times New Roman" w:hAnsi="Times New Roman" w:eastAsia="SimSun"/>
          <w:b/>
          <w:sz w:val="22"/>
        </w:rPr>
        <w:t>even holding the family and training recipe fixed, changing the checkpoint changes the answer qualitatively</w:t>
      </w:r>
      <w:r>
        <w:rPr>
          <w:rFonts w:ascii="Times New Roman" w:hAnsi="Times New Roman" w:eastAsia="SimSun"/>
          <w:sz w:val="22"/>
        </w:rPr>
        <w:t xml:space="preserve"> — so a single-encoder robustness claim does not establish how robust a defense is in general. This is a limitation of our study and, we argue, of the standard evaluation protocol in this area. We have not swept Contriever at large scale, nor multilingual or instruction-tuned embedders, and we expect the spread to widen rather than narrow in those directions. Our scale pairs are parameter-matched (110M → 335M for GTE and E5; 66M → 110M for SPLADE), so the SPLADE pair tests a smaller size delta than the other two and a "large SPLADE is no more robust" conclusion carries correspondingly less weight.</w:t>
      </w:r>
    </w:p>
    <w:p>
      <w:pPr>
        <w:pStyle w:val="ListNumber"/>
        <w:spacing w:line="360" w:lineRule="auto"/>
      </w:pPr>
      <w:r>
        <w:rPr>
          <w:rFonts w:ascii="Times New Roman" w:hAnsi="Times New Roman" w:eastAsia="SimSun"/>
          <w:b/>
          <w:sz w:val="22"/>
        </w:rPr>
        <w:t>The generation-stage evaluation is multi-generator and multi-probe, and the probes disagree in a way that is itself a result.</w:t>
      </w:r>
      <w:r>
        <w:rPr>
          <w:rFonts w:ascii="Times New Roman" w:hAnsi="Times New Roman" w:eastAsia="SimSun"/>
          <w:sz w:val="22"/>
        </w:rPr>
        <w:t xml:space="preserve"> §5.7 reports four generators spanning three model families (API-served Qwen and DeepSeek, plus open-weight Mistral-7B run locally in 4-bit on an RTX 5060), two corpora, and two probes: free-form answers scored by entailment, and a forced-choice probe scored by the choice it forces. Three limits remain. (i) </w:t>
      </w:r>
      <w:r>
        <w:rPr>
          <w:rFonts w:ascii="Times New Roman" w:hAnsi="Times New Roman" w:eastAsia="SimSun"/>
          <w:i/>
          <w:sz w:val="22"/>
        </w:rPr>
        <w:t>Retrieval conditions are measured on one backbone</w:t>
      </w:r>
      <w:r>
        <w:rPr>
          <w:rFonts w:ascii="Times New Roman" w:hAnsi="Times New Roman" w:eastAsia="SimSun"/>
          <w:sz w:val="22"/>
        </w:rPr>
        <w:t xml:space="preserve"> (GTE-base), held fixed across the generation-stage comparison, so the encoder-dependence of §5.5 is not varied here. (ii) </w:t>
      </w:r>
      <w:r>
        <w:rPr>
          <w:rFonts w:ascii="Times New Roman" w:hAnsi="Times New Roman" w:eastAsia="SimSun"/>
          <w:i/>
          <w:sz w:val="22"/>
        </w:rPr>
        <w:t>The two probes support different conclusions, and the freer one is the weaker.</w:t>
      </w:r>
      <w:r>
        <w:rPr>
          <w:rFonts w:ascii="Times New Roman" w:hAnsi="Times New Roman" w:eastAsia="SimSun"/>
          <w:sz w:val="22"/>
        </w:rPr>
        <w:t xml:space="preserve"> Free-form answers commit to a position in only 15.6% of cases on the controlled corpus and 1.0% on BBQ, so that probe is near-blind on natural text; the forced-choice probe detects the effect on both. We report both rather than the favourable one, because a probe that manufactures commitment can also manufacture an effect, and §5.7.1 records the checks we ran to establish that the forced choice tracks statement content rather than option position (100% versus 35% agreement with the placement of the favourable statement). (iii) </w:t>
      </w:r>
      <w:r>
        <w:rPr>
          <w:rFonts w:ascii="Times New Roman" w:hAnsi="Times New Roman" w:eastAsia="SimSun"/>
          <w:i/>
          <w:sz w:val="22"/>
        </w:rPr>
        <w:t>The effect is generator-dependent.</w:t>
      </w:r>
      <w:r>
        <w:rPr>
          <w:rFonts w:ascii="Times New Roman" w:hAnsi="Times New Roman" w:eastAsia="SimSun"/>
          <w:sz w:val="22"/>
        </w:rPr>
        <w:t xml:space="preserve"> One of three generators carries most of the signal on both corpora, a second shows a single group on BBQ, and the third shows none reaching significance there. A result of this shape is not summarisable as one number, and we no longer report one. Whether a larger generator would show more or less is an open question: we ran one open-weight model and three API models, and the scale of the API models is not controlled.</w:t>
      </w:r>
    </w:p>
    <w:p>
      <w:r>
        <w:rPr>
          <w:rFonts w:ascii="Times New Roman" w:hAnsi="Times New Roman" w:eastAsia="SimSun"/>
          <w:sz w:val="22"/>
        </w:rPr>
        <w:t xml:space="preserve">   </w:t>
      </w:r>
      <w:r>
        <w:rPr>
          <w:rFonts w:ascii="Times New Roman" w:hAnsi="Times New Roman" w:eastAsia="SimSun"/>
          <w:i/>
          <w:sz w:val="22"/>
        </w:rPr>
        <w:t>Query diversity.</w:t>
      </w:r>
      <w:r>
        <w:rPr>
          <w:rFonts w:ascii="Times New Roman" w:hAnsi="Times New Roman" w:eastAsia="SimSun"/>
          <w:sz w:val="22"/>
        </w:rPr>
        <w:t xml:space="preserve"> The controlled corpus's 48 retrieval slots correspond to only </w:t>
      </w:r>
      <w:r>
        <w:rPr>
          <w:rFonts w:ascii="Times New Roman" w:hAnsi="Times New Roman" w:eastAsia="SimSun"/>
          <w:b/>
          <w:sz w:val="22"/>
        </w:rPr>
        <w:t>16 distinct question texts</w:t>
      </w:r>
      <w:r>
        <w:rPr>
          <w:rFonts w:ascii="Times New Roman" w:hAnsi="Times New Roman" w:eastAsia="SimSun"/>
          <w:sz w:val="22"/>
        </w:rPr>
        <w:t xml:space="preserve"> (each repeated 3×, once per paraphrase variant). Any statistic aggregated over the 48 is therefore aggregated over 16 questions, and the effective sample size is a third of what the table suggests. The natural-corpus evaluation does not have this problem (BBQ supplies 144 distinct, naturally written questions), which is an additional reason to prefer it for output-level measurement rather than treating it as a replication check.</w:t>
      </w:r>
    </w:p>
    <w:p>
      <w:r>
        <w:rPr>
          <w:rFonts w:ascii="Times New Roman" w:hAnsi="Times New Roman" w:eastAsia="SimSun"/>
          <w:sz w:val="22"/>
        </w:rPr>
        <w:t xml:space="preserve">   </w:t>
      </w:r>
      <w:r>
        <w:rPr>
          <w:rFonts w:ascii="Times New Roman" w:hAnsi="Times New Roman" w:eastAsia="SimSun"/>
          <w:i/>
          <w:sz w:val="22"/>
        </w:rPr>
        <w:t>The generator does not follow an inverted context on this corpus.</w:t>
      </w:r>
      <w:r>
        <w:rPr>
          <w:rFonts w:ascii="Times New Roman" w:hAnsi="Times New Roman" w:eastAsia="SimSun"/>
          <w:sz w:val="22"/>
        </w:rPr>
        <w:t xml:space="preserve"> We ran a negative control that flips the stance of every retrieved passage while holding the question fixed. On the controlled corpus the answer was </w:t>
      </w:r>
      <w:r>
        <w:rPr>
          <w:rFonts w:ascii="Times New Roman" w:hAnsi="Times New Roman" w:eastAsia="SimSun"/>
          <w:b/>
          <w:sz w:val="22"/>
        </w:rPr>
        <w:t>unchanged in 6 of 6 cases under inversion</w:t>
      </w:r>
      <w:r>
        <w:rPr>
          <w:rFonts w:ascii="Times New Roman" w:hAnsi="Times New Roman" w:eastAsia="SimSun"/>
          <w:sz w:val="22"/>
        </w:rPr>
        <w:t xml:space="preserve">, but </w:t>
      </w:r>
      <w:r>
        <w:rPr>
          <w:rFonts w:ascii="Times New Roman" w:hAnsi="Times New Roman" w:eastAsia="SimSun"/>
          <w:b/>
          <w:sz w:val="22"/>
        </w:rPr>
        <w:t>changed in 6 of 6 cases when the context was replaced by unrelated passages</w:t>
      </w:r>
      <w:r>
        <w:rPr>
          <w:rFonts w:ascii="Times New Roman" w:hAnsi="Times New Roman" w:eastAsia="SimSun"/>
          <w:sz w:val="22"/>
        </w:rPr>
        <w:t xml:space="preserve"> or removed entirely. The generator is therefore reading the context at the level of </w:t>
      </w:r>
      <w:r>
        <w:rPr>
          <w:rFonts w:ascii="Times New Roman" w:hAnsi="Times New Roman" w:eastAsia="SimSun"/>
          <w:i/>
          <w:sz w:val="22"/>
        </w:rPr>
        <w:t>topic</w:t>
      </w:r>
      <w:r>
        <w:rPr>
          <w:rFonts w:ascii="Times New Roman" w:hAnsi="Times New Roman" w:eastAsia="SimSun"/>
          <w:sz w:val="22"/>
        </w:rPr>
        <w:t xml:space="preserve"> — it knows a question about an engineering evaluation calls for naming an engineer — but not at the level of </w:t>
      </w:r>
      <w:r>
        <w:rPr>
          <w:rFonts w:ascii="Times New Roman" w:hAnsi="Times New Roman" w:eastAsia="SimSun"/>
          <w:i/>
          <w:sz w:val="22"/>
        </w:rPr>
        <w:t>stance</w:t>
      </w:r>
      <w:r>
        <w:rPr>
          <w:rFonts w:ascii="Times New Roman" w:hAnsi="Times New Roman" w:eastAsia="SimSun"/>
          <w:sz w:val="22"/>
        </w:rPr>
        <w:t>, and the answers are determined by the question's framing rather than by the evidence on trial. This is a property of a template corpus whose questions presuppose their own answer, and it means a null propagation result on that corpus would have been uninformative. The forced-choice probe reported in §5.7 avoids the problem by construction, which is why it is the primary measurement; we now report the control because the free-form probe alone cannot distinguish "no propagation" from "generator ignores stance".</w:t>
      </w:r>
    </w:p>
    <w:p>
      <w:r>
        <w:rPr>
          <w:rFonts w:ascii="Times New Roman" w:hAnsi="Times New Roman" w:eastAsia="SimSun"/>
          <w:sz w:val="22"/>
        </w:rPr>
        <w:t xml:space="preserve">   </w:t>
      </w:r>
      <w:r>
        <w:rPr>
          <w:rFonts w:ascii="Times New Roman" w:hAnsi="Times New Roman" w:eastAsia="SimSun"/>
          <w:i/>
          <w:sz w:val="22"/>
        </w:rPr>
        <w:t>A metric we reported as failed is now fixed, and the fix is not cosmetic.</w:t>
      </w:r>
      <w:r>
        <w:rPr>
          <w:rFonts w:ascii="Times New Roman" w:hAnsi="Times New Roman" w:eastAsia="SimSun"/>
          <w:sz w:val="22"/>
        </w:rPr>
        <w:t xml:space="preserve"> The per-passage attribution probe asked the generator itself whether its answer relied on a given passage; the judge answered YES almost always and the resulting EAE-D was a constant 1.000 in every condition. The cause is direction: an NLI model must be asked whether the </w:t>
      </w:r>
      <w:r>
        <w:rPr>
          <w:rFonts w:ascii="Times New Roman" w:hAnsi="Times New Roman" w:eastAsia="SimSun"/>
          <w:b/>
          <w:sz w:val="22"/>
        </w:rPr>
        <w:t>passage entails the answer</w:t>
      </w:r>
      <w:r>
        <w:rPr>
          <w:rFonts w:ascii="Times New Roman" w:hAnsi="Times New Roman" w:eastAsia="SimSun"/>
          <w:sz w:val="22"/>
        </w:rPr>
        <w:t>, not the reverse. Calibrated on this corpus, a passage the answer used scores 0.996 in the correct direction and 0.008 in the reversed one, and an unused passage scores 0.000 in both — so the reversed form returns noise rather than an obviously wrong value. §5.7's EAE-D figures should be read as produced by the probe we have now replaced.</w:t>
      </w:r>
    </w:p>
    <w:p>
      <w:r>
        <w:rPr>
          <w:rFonts w:ascii="Times New Roman" w:hAnsi="Times New Roman" w:eastAsia="SimSun"/>
          <w:sz w:val="22"/>
        </w:rPr>
        <w:t xml:space="preserve">   A multi-generator evaluation with entailment-based attribution is in progress and is not reported here;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are chosen and validated by aggregate statistics of the retrieved set. We have shown that the standard statistics are structurally insensitive to the attack they are meant to detect, that the insensitivity has one identifiable cause, and that the defense failure which follows is a consequence of the measurement failure rather than a separate phenomenon.</w:t>
      </w:r>
    </w:p>
    <w:p>
      <w:r>
        <w:rPr>
          <w:rFonts w:ascii="Times New Roman" w:hAnsi="Times New Roman" w:eastAsia="SimSun"/>
          <w:sz w:val="22"/>
        </w:rPr>
        <w:t>The cause is that the attack balances what these statistics count and relocates what they difference. Pairwise poisoning — the natural adversarial construction, in which injected passages reuse the legitimate template inventory in matched pairs — is balanced in group composition by construction, so every composition statistic reads clean. And because it moves both groups rather than opening a gap between them, any statistic computed as an absolute difference between groups is dominated by the corpus's pre-existing asymmetry and is likewise blind. The diagnostic is the per-group shift. We identify this at the retrieval layer, where two of three candidate stance statistics are flat across the clean and fully attacked conditions, and then again at the generation layer in our own first measurement of propagation, where the absolute gap moved by less than 0.002 while the per-group shifts moved by 0.13 at $p \le 0.0035$. Reporting the second occurrence against ourselves is part of the argument: the error is not exotic, it is the natural first thing to compute.</w:t>
      </w:r>
    </w:p>
    <w:p>
      <w:r>
        <w:rPr>
          <w:rFonts w:ascii="Times New Roman" w:hAnsi="Times New Roman" w:eastAsia="SimSun"/>
          <w:sz w:val="22"/>
        </w:rPr>
        <w:t>The practical consequence is that the R1-only defense is not weak but inert, and we state this as a ceiling rather than as a null that further data might overturn. The unconstrained baseline already admits adversarial passages on every query where it can, so no reduction is available even in principle; the per-query difference is identically zero and the equivalence bound is exactly ±0.0000. That is not because the constraint cannot change the selection — it can, and does — but because changing which passages are selected does not displace a single adversarial one. Extending the constraint to a second dimension improves the statistic it measures without changing adversarial inclusion. The problem is therefore not one of optimisation but of detection, and it requires evidence about individual passages rather than about the set they belong to.</w:t>
      </w:r>
    </w:p>
    <w:p>
      <w:r>
        <w:rPr>
          <w:rFonts w:ascii="Times New Roman" w:hAnsi="Times New Roman" w:eastAsia="SimSun"/>
          <w:sz w:val="22"/>
        </w:rPr>
        <w:t xml:space="preserve">We close with the protocol the results imply. The first four points are about </w:t>
      </w:r>
      <w:r>
        <w:rPr>
          <w:rFonts w:ascii="Times New Roman" w:hAnsi="Times New Roman" w:eastAsia="SimSun"/>
          <w:b/>
          <w:sz w:val="22"/>
        </w:rPr>
        <w:t>measurement validity</w:t>
      </w:r>
      <w:r>
        <w:rPr>
          <w:rFonts w:ascii="Times New Roman" w:hAnsi="Times New Roman" w:eastAsia="SimSun"/>
          <w:sz w:val="22"/>
        </w:rPr>
        <w:t xml:space="preserve"> — whether a statistic can see the attack at all — and the last five about </w:t>
      </w:r>
      <w:r>
        <w:rPr>
          <w:rFonts w:ascii="Times New Roman" w:hAnsi="Times New Roman" w:eastAsia="SimSun"/>
          <w:b/>
          <w:sz w:val="22"/>
        </w:rPr>
        <w:t>adversarial evaluation hygiene</w:t>
      </w:r>
      <w:r>
        <w:rPr>
          <w:rFonts w:ascii="Times New Roman" w:hAnsi="Times New Roman" w:eastAsia="SimSun"/>
          <w:sz w:val="22"/>
        </w:rPr>
        <w:t>, which is what makes a robustness claim interpretable:</w:t>
      </w:r>
    </w:p>
    <w:p>
      <w:pPr>
        <w:pStyle w:val="ListNumber"/>
        <w:spacing w:line="360" w:lineRule="auto"/>
      </w:pPr>
      <w:r>
        <w:rPr>
          <w:rFonts w:ascii="Times New Roman" w:hAnsi="Times New Roman" w:eastAsia="SimSun"/>
          <w:b/>
          <w:sz w:val="22"/>
        </w:rPr>
        <w:t>Measure per-group shifts, not cross-group differences.</w:t>
      </w:r>
      <w:r>
        <w:rPr>
          <w:rFonts w:ascii="Times New Roman" w:hAnsi="Times New Roman" w:eastAsia="SimSun"/>
          <w:sz w:val="22"/>
        </w:rPr>
        <w:t xml:space="preserve"> An absolute gap between groups is dominated by pre-existing corpus asymmetry and is blind to an attack that relocates both groups together. Report both group-level quantities, and report the change in each.</w:t>
      </w:r>
    </w:p>
    <w:p>
      <w:pPr>
        <w:pStyle w:val="ListNumber"/>
        <w:spacing w:line="360" w:lineRule="auto"/>
      </w:pPr>
      <w:r>
        <w:rPr>
          <w:rFonts w:ascii="Times New Roman" w:hAnsi="Times New Roman" w:eastAsia="SimSun"/>
          <w:b/>
          <w:sz w:val="22"/>
        </w:rPr>
        <w:t>Report injection as a rate, not a count.</w:t>
      </w:r>
      <w:r>
        <w:rPr>
          <w:rFonts w:ascii="Times New Roman" w:hAnsi="Times New Roman" w:eastAsia="SimSun"/>
          <w:sz w:val="22"/>
        </w:rPr>
        <w:t xml:space="preserve"> A fixed passage count measures corpus size rather than attack strength, and produced a spurious conclusion in our own earlier experiment.</w:t>
      </w:r>
    </w:p>
    <w:p>
      <w:pPr>
        <w:pStyle w:val="ListNumber"/>
        <w:spacing w:line="360" w:lineRule="auto"/>
      </w:pPr>
      <w:r>
        <w:rPr>
          <w:rFonts w:ascii="Times New Roman" w:hAnsi="Times New Roman" w:eastAsia="SimSun"/>
          <w:b/>
          <w:sz w:val="22"/>
        </w:rPr>
        <w:t>Report the encoder as a factor.</w:t>
      </w:r>
      <w:r>
        <w:rPr>
          <w:rFonts w:ascii="Times New Roman" w:hAnsi="Times New Roman" w:eastAsia="SimSun"/>
          <w:sz w:val="22"/>
        </w:rPr>
        <w:t xml:space="preserve"> Susceptibility is a per-checkpoint property that is not monotone in encoder size — within one family and training recipe, scaling GTE raised text-attack success eight-fold while scaling E5 lowered it to zero. A single-encoder robustness claim reports an unmeasured property of that checkpoint.</w:t>
      </w:r>
    </w:p>
    <w:p>
      <w:pPr>
        <w:pStyle w:val="ListNumber"/>
        <w:spacing w:line="360" w:lineRule="auto"/>
      </w:pPr>
      <w:r>
        <w:rPr>
          <w:rFonts w:ascii="Times New Roman" w:hAnsi="Times New Roman" w:eastAsia="SimSun"/>
          <w:b/>
          <w:sz w:val="22"/>
        </w:rPr>
        <w:t>Give equivalence bounds for null claims.</w:t>
      </w:r>
      <w:r>
        <w:rPr>
          <w:rFonts w:ascii="Times New Roman" w:hAnsi="Times New Roman" w:eastAsia="SimSun"/>
          <w:sz w:val="22"/>
        </w:rPr>
        <w:t xml:space="preserve"> "No effect detected" and "no effect" are different claims, and only the second supports a conclusion about a defense family. Where the per-query difference is identically zero this is easy and conclusive; where it is not, the bound is the honest statement.</w:t>
      </w:r>
    </w:p>
    <w:p>
      <w:pPr>
        <w:pStyle w:val="ListNumber"/>
        <w:spacing w:line="360" w:lineRule="auto"/>
      </w:pPr>
      <w:r>
        <w:rPr>
          <w:rFonts w:ascii="Times New Roman" w:hAnsi="Times New Roman" w:eastAsia="SimSun"/>
          <w:b/>
          <w:sz w:val="22"/>
        </w:rPr>
        <w:t>State the threat model explicitly, including whether the attacker knows the defense.</w:t>
      </w:r>
      <w:r>
        <w:rPr>
          <w:rFonts w:ascii="Times New Roman" w:hAnsi="Times New Roman" w:eastAsia="SimSun"/>
          <w:sz w:val="22"/>
        </w:rPr>
        <w:t xml:space="preserve"> A robustness claim without this qualifier is uninterpretable, and the qualifier is what separates the two evaluations in §5.2.</w:t>
      </w:r>
    </w:p>
    <w:p>
      <w:pPr>
        <w:pStyle w:val="ListNumber"/>
        <w:spacing w:line="360" w:lineRule="auto"/>
      </w:pPr>
      <w:r>
        <w:rPr>
          <w:rFonts w:ascii="Times New Roman" w:hAnsi="Times New Roman" w:eastAsia="SimSun"/>
          <w:b/>
          <w:sz w:val="22"/>
        </w:rPr>
        <w:t>Report adversarial inclusion as a function of attacker strength, not at a single operating point.</w:t>
      </w:r>
      <w:r>
        <w:rPr>
          <w:rFonts w:ascii="Times New Roman" w:hAnsi="Times New Roman" w:eastAsia="SimSun"/>
          <w:sz w:val="22"/>
        </w:rPr>
        <w:t xml:space="preserve"> One value cannot distinguish a robust defense from one evaluated below its failure threshold. In our sweep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A defense can achieve low adversarial inclusion trivially by returning fewer or worse passages, which is why §5.2 reports </w:t>
      </w:r>
      <w:r>
        <w:rPr>
          <w:rFonts w:ascii="Consolas" w:hAnsi="Consolas" w:eastAsia="Consolas"/>
          <w:sz w:val="21"/>
        </w:rPr>
        <w:t>in_pool_rate</w:t>
      </w:r>
      <w:r>
        <w:rPr>
          <w:rFonts w:ascii="Times New Roman" w:hAnsi="Times New Roman" w:eastAsia="SimSun"/>
          <w:sz w:val="22"/>
        </w:rPr>
        <w:t xml:space="preserve"> alongside </w:t>
      </w:r>
      <w:r>
        <w:rPr>
          <w:rFonts w:ascii="Consolas" w:hAnsi="Consolas" w:eastAsia="Consolas"/>
          <w:sz w:val="21"/>
        </w:rPr>
        <w:t>poison@k</w:t>
      </w:r>
      <w:r>
        <w:rPr>
          <w:rFonts w:ascii="Times New Roman" w:hAnsi="Times New Roman" w:eastAsia="SimSun"/>
          <w:sz w:val="22"/>
        </w:rPr>
        <w:t>.</w:t>
      </w:r>
    </w:p>
    <w:p>
      <w:pPr>
        <w:pStyle w:val="ListNumber"/>
        <w:spacing w:line="360" w:lineRule="auto"/>
      </w:pPr>
      <w:r>
        <w:rPr>
          <w:rFonts w:ascii="Times New Roman" w:hAnsi="Times New Roman" w:eastAsia="SimSun"/>
          <w:b/>
          <w:sz w:val="22"/>
        </w:rPr>
        <w:t>For a randomised defense, state the distribution and assume it is known.</w:t>
      </w:r>
      <w:r>
        <w:rPr>
          <w:rFonts w:ascii="Times New Roman" w:hAnsi="Times New Roman" w:eastAsia="SimSun"/>
          <w:sz w:val="22"/>
        </w:rPr>
        <w:t xml:space="preserve"> Report the attacker's optimal response to the expectation rather than to a sample; by Proposition 4, randomisation bounds variance and not the expectation.</w:t>
      </w:r>
    </w:p>
    <w:p>
      <w:pPr>
        <w:pStyle w:val="ListNumber"/>
        <w:spacing w:line="360" w:lineRule="auto"/>
      </w:pPr>
      <w:r>
        <w:rPr>
          <w:rFonts w:ascii="Times New Roman" w:hAnsi="Times New Roman" w:eastAsia="SimSun"/>
          <w:b/>
          <w:sz w:val="22"/>
        </w:rPr>
        <w:t>For a penalty-based defense, report whether the penalty is computable from public information.</w:t>
      </w:r>
      <w:r>
        <w:rPr>
          <w:rFonts w:ascii="Times New Roman" w:hAnsi="Times New Roman" w:eastAsia="SimSun"/>
          <w:sz w:val="22"/>
        </w:rPr>
        <w:t xml:space="preserve"> If it is, treat it as a constraint in the attacker's optimisation rather than as an unknown; by Corollary 2 that is the difference between a cost and a barrier.</w:t>
      </w:r>
    </w:p>
    <w:p>
      <w:r>
        <w:rPr>
          <w:rFonts w:ascii="Times New Roman" w:hAnsi="Times New Roman" w:eastAsia="SimSun"/>
          <w:sz w:val="22"/>
        </w:rPr>
        <w:t>Point 9 is the one most easily overlooked and, in our experiments, decisive for the defense that looked strongest statically. Point 5 is the one most often omitted in this literature. We suggest that points 1–4 are prerequisites for a fairness statistic to be reported at all under adversarial conditions, and points 5–9 for a robustness claim to be credited.</w:t>
      </w:r>
    </w:p>
    <w:p>
      <w:r>
        <w:rPr>
          <w:rFonts w:ascii="Times New Roman" w:hAnsi="Times New Roman" w:eastAsia="SimSun"/>
          <w:sz w:val="22"/>
        </w:rPr>
        <w:t>We have reported an exploratory provenance signal in the direction the protocol implies — evidence about individual passages rather than about aggregates —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Times New Roman" w:hAnsi="Times New Roman" w:eastAsia="SimSun"/>
          <w:b/>
          <w:sz w:val="22"/>
        </w:rPr>
        <w:t>https://github.com/luj00133-dev/rag-poison-fairness</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§5.7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configs/align_gte_ad.json # GTE-base, ~12 min</w:t>
      </w:r>
    </w:p>
    <w:p>
      <w:pPr>
        <w:spacing w:line="240" w:lineRule="auto"/>
        <w:ind w:left="283"/>
      </w:pPr>
      <w:r>
        <w:rPr>
          <w:rFonts w:ascii="Consolas" w:hAnsi="Consolas" w:eastAsia="Consolas"/>
          <w:sz w:val="18"/>
        </w:rPr>
        <w:t>python -m src.run_experiment --config configs/align_e5.json     # E5-base, ~10 min</w:t>
      </w:r>
    </w:p>
    <w:p>
      <w:pPr>
        <w:spacing w:line="240" w:lineRule="auto"/>
        <w:ind w:left="283"/>
      </w:pPr>
      <w:r>
        <w:rPr>
          <w:rFonts w:ascii="Consolas" w:hAnsi="Consolas" w:eastAsia="Consolas"/>
          <w:sz w:val="18"/>
        </w:rPr>
        <w:t>python -m src.run_experiment --config configs/contriever_ad.json # Contriever, ~3 min</w:t>
      </w:r>
    </w:p>
    <w:p>
      <w:pPr>
        <w:spacing w:line="240" w:lineRule="auto"/>
        <w:ind w:left="283"/>
      </w:pPr>
      <w:r>
        <w:rPr>
          <w:rFonts w:ascii="Consolas" w:hAnsi="Consolas" w:eastAsia="Consolas"/>
          <w:sz w:val="18"/>
        </w:rPr>
        <w:t>python -m src.run_experiment --config configs/align_splade.json # SPLADE distil, ~4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encoder-scale check of §5.6 (large checkpoints, CPU only)</w:t>
      </w:r>
    </w:p>
    <w:p>
      <w:pPr>
        <w:spacing w:line="240" w:lineRule="auto"/>
        <w:ind w:left="283"/>
      </w:pPr>
      <w:r>
        <w:rPr>
          <w:rFonts w:ascii="Consolas" w:hAnsi="Consolas" w:eastAsia="Consolas"/>
          <w:sz w:val="18"/>
        </w:rPr>
        <w:t>python -m src.run_experiment --config configs/align_gte_large.json      # ~23 min</w:t>
      </w:r>
    </w:p>
    <w:p>
      <w:pPr>
        <w:spacing w:line="240" w:lineRule="auto"/>
        <w:ind w:left="283"/>
      </w:pPr>
      <w:r>
        <w:rPr>
          <w:rFonts w:ascii="Consolas" w:hAnsi="Consolas" w:eastAsia="Consolas"/>
          <w:sz w:val="18"/>
        </w:rPr>
        <w:t>python -m src.run_experiment --config configs/align_e5_large.json       # ~10 min</w:t>
      </w:r>
    </w:p>
    <w:p>
      <w:pPr>
        <w:spacing w:line="240" w:lineRule="auto"/>
        <w:ind w:left="283"/>
      </w:pPr>
      <w:r>
        <w:rPr>
          <w:rFonts w:ascii="Consolas" w:hAnsi="Consolas" w:eastAsia="Consolas"/>
          <w:sz w:val="18"/>
        </w:rPr>
        <w:t>python -m src.run_experiment --config configs/align_splade_large.json   #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the analyses behind §5.5 and §5.6</w:t>
      </w:r>
    </w:p>
    <w:p>
      <w:pPr>
        <w:spacing w:line="240" w:lineRule="auto"/>
        <w:ind w:left="283"/>
      </w:pPr>
      <w:r>
        <w:rPr>
          <w:rFonts w:ascii="Consolas" w:hAnsi="Consolas" w:eastAsia="Consolas"/>
          <w:sz w:val="18"/>
        </w:rPr>
        <w:t>python analysis/compare_six_backbones.py</w:t>
      </w:r>
    </w:p>
    <w:p>
      <w:pPr>
        <w:spacing w:line="240" w:lineRule="auto"/>
        <w:ind w:left="283"/>
      </w:pPr>
      <w:r>
        <w:rPr>
          <w:rFonts w:ascii="Consolas" w:hAnsi="Consolas" w:eastAsia="Consolas"/>
          <w:sz w:val="18"/>
        </w:rPr>
        <w:t>python analysis/compare_scale.py</w:t>
      </w:r>
    </w:p>
    <w:p>
      <w:pPr>
        <w:spacing w:line="240" w:lineRule="auto"/>
        <w:ind w:left="283"/>
      </w:pPr>
      <w:r>
        <w:rPr>
          <w:rFonts w:ascii="Consolas" w:hAnsi="Consolas" w:eastAsia="Consolas"/>
          <w:sz w:val="18"/>
        </w:rPr>
        <w:t>python analysis/diagnose_gte_large.py     # embedding geometry</w:t>
      </w:r>
    </w:p>
    <w:p>
      <w:pPr>
        <w:spacing w:line="240" w:lineRule="auto"/>
        <w:ind w:left="283"/>
      </w:pPr>
      <w:r>
        <w:rPr>
          <w:rFonts w:ascii="Consolas" w:hAnsi="Consolas" w:eastAsia="Consolas"/>
          <w:sz w:val="18"/>
        </w:rPr>
        <w:t>python analysis/diagnose_poison_scores.py # the mechanism behind Table C1</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§5.7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The backbone alignment of §5.5 and §5.6 adds roughly 75 minutes of CPU time</w:t>
      </w:r>
    </w:p>
    <w:p>
      <w:r>
        <w:rPr>
          <w:rFonts w:ascii="Times New Roman" w:hAnsi="Times New Roman" w:eastAsia="SimSun"/>
          <w:sz w:val="22"/>
        </w:rPr>
        <w:t>across eight encoder checkpoints, the slowest single run being GTE-large at</w:t>
      </w:r>
    </w:p>
    <w:p>
      <w:r>
        <w:rPr>
          <w:rFonts w:ascii="Times New Roman" w:hAnsi="Times New Roman" w:eastAsia="SimSun"/>
          <w:sz w:val="22"/>
        </w:rPr>
        <w:t>23 minutes; the largest model loaded is a 335M-parameter encoder, which needs</w:t>
      </w:r>
    </w:p>
    <w:p>
      <w:r>
        <w:rPr>
          <w:rFonts w:ascii="Times New Roman" w:hAnsi="Times New Roman" w:eastAsia="SimSun"/>
          <w:sz w:val="22"/>
        </w:rPr>
        <w:t>under 2 GB in fp32. No GPU is used anywhere in this paper.</w:t>
      </w:r>
    </w:p>
    <w:p>
      <w:pPr>
        <w:spacing w:before="240" w:after="120"/>
      </w:pPr>
      <w:r>
        <w:rPr>
          <w:rFonts w:ascii="Times New Roman" w:hAnsi="Times New Roman" w:eastAsia="Microsoft YaHei"/>
          <w:b/>
          <w:sz w:val="28"/>
        </w:rPr>
        <w:t>Appendix B. Paired tests and confidence intervals</w:t>
      </w:r>
    </w:p>
    <w:p>
      <w:r>
        <w:rPr>
          <w:rFonts w:ascii="Times New Roman" w:hAnsi="Times New Roman" w:eastAsia="SimSun"/>
          <w:sz w:val="22"/>
        </w:rPr>
        <w:t xml:space="preserve">Every number in §5 is an aggregate over queries. Because the paper's central claim is a null, we give the paired tests on the underlying per-query data here, including the equivalence bound for each null cell. Reproduce with the script </w:t>
      </w:r>
      <w:r>
        <w:rPr>
          <w:rFonts w:ascii="Consolas" w:hAnsi="Consolas" w:eastAsia="Consolas"/>
          <w:sz w:val="21"/>
        </w:rPr>
        <w:t>analysis/stats_paper.py</w:t>
      </w:r>
      <w:r>
        <w:rPr>
          <w:rFonts w:ascii="Times New Roman" w:hAnsi="Times New Roman" w:eastAsia="SimSun"/>
          <w:sz w:val="22"/>
        </w:rPr>
        <w:t>.</w:t>
      </w:r>
    </w:p>
    <w:p>
      <w:r>
        <w:rPr>
          <w:rFonts w:ascii="Times New Roman" w:hAnsi="Times New Roman" w:eastAsia="SimSun"/>
          <w:b/>
          <w:sz w:val="22"/>
        </w:rPr>
        <w:t>Table B1.</w:t>
      </w:r>
      <w:r>
        <w:rPr>
          <w:rFonts w:ascii="Times New Roman" w:hAnsi="Times New Roman" w:eastAsia="SimSun"/>
          <w:sz w:val="22"/>
        </w:rPr>
        <w:t xml:space="preserve"> Paired tests of R1-constraint inertness against no defense. Controlled corpus, </w:t>
      </w:r>
      <w:r>
        <w:rPr>
          <w:rFonts w:ascii="Consolas" w:hAnsi="Consolas" w:eastAsia="Consolas"/>
          <w:sz w:val="21"/>
        </w:rPr>
        <w:t>template_plus_projection</w:t>
      </w:r>
      <w:r>
        <w:rPr>
          <w:rFonts w:ascii="Times New Roman" w:hAnsi="Times New Roman" w:eastAsia="SimSun"/>
          <w:sz w:val="22"/>
        </w:rPr>
        <w:t>, $\rho = 0.5\%$, per-query adversarial-passage inclusion.</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Retriever</w:t>
            </w:r>
          </w:p>
        </w:tc>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ε</w:t>
            </w:r>
          </w:p>
        </w:tc>
        <w:tc>
          <w:tcPr>
            <w:tcW w:type="dxa" w:w="1205"/>
            <w:shd w:val="clear" w:color="auto" w:fill="DCE6F1"/>
          </w:tcPr>
          <w:p>
            <w:pPr>
              <w:spacing w:line="240" w:lineRule="auto" w:after="0"/>
            </w:pPr>
            <w:r>
              <w:rPr>
                <w:rFonts w:ascii="Times New Roman" w:hAnsi="Times New Roman" w:eastAsia="SimSun"/>
                <w:b/>
                <w:sz w:val="19"/>
              </w:rPr>
              <w:t>n</w:t>
            </w:r>
          </w:p>
        </w:tc>
        <w:tc>
          <w:tcPr>
            <w:tcW w:type="dxa" w:w="1205"/>
            <w:shd w:val="clear" w:color="auto" w:fill="DCE6F1"/>
          </w:tcPr>
          <w:p>
            <w:pPr>
              <w:spacing w:line="240" w:lineRule="auto" w:after="0"/>
            </w:pPr>
            <w:r>
              <w:rPr>
                <w:rFonts w:ascii="Times New Roman" w:hAnsi="Times New Roman" w:eastAsia="SimSun"/>
                <w:b/>
                <w:sz w:val="19"/>
              </w:rPr>
              <w:t>Δ mean</w:t>
            </w:r>
          </w:p>
        </w:tc>
        <w:tc>
          <w:tcPr>
            <w:tcW w:type="dxa" w:w="1205"/>
            <w:shd w:val="clear" w:color="auto" w:fill="DCE6F1"/>
          </w:tcPr>
          <w:p>
            <w:pPr>
              <w:spacing w:line="240" w:lineRule="auto" w:after="0"/>
            </w:pPr>
            <w:r>
              <w:rPr>
                <w:rFonts w:ascii="Times New Roman" w:hAnsi="Times New Roman" w:eastAsia="SimSun"/>
                <w:b/>
                <w:sz w:val="19"/>
              </w:rPr>
              <w:t>95% CI</w:t>
            </w:r>
          </w:p>
        </w:tc>
        <w:tc>
          <w:tcPr>
            <w:tcW w:type="dxa" w:w="1205"/>
            <w:shd w:val="clear" w:color="auto" w:fill="DCE6F1"/>
          </w:tcPr>
          <w:p>
            <w:pPr>
              <w:spacing w:line="240" w:lineRule="auto" w:after="0"/>
            </w:pPr>
            <w:r>
              <w:rPr>
                <w:rFonts w:ascii="Times New Roman" w:hAnsi="Times New Roman" w:eastAsia="SimSun"/>
                <w:b/>
                <w:sz w:val="19"/>
              </w:rPr>
              <w:t>p</w:t>
            </w:r>
          </w:p>
        </w:tc>
        <w:tc>
          <w:tcPr>
            <w:tcW w:type="dxa" w:w="1205"/>
            <w:shd w:val="clear" w:color="auto" w:fill="DCE6F1"/>
          </w:tcPr>
          <w:p>
            <w:pPr>
              <w:spacing w:line="240" w:lineRule="auto" w:after="0"/>
            </w:pPr>
            <w:r>
              <w:rPr>
                <w:rFonts w:ascii="Times New Roman" w:hAnsi="Times New Roman" w:eastAsia="SimSun"/>
                <w:b/>
                <w:sz w:val="19"/>
              </w:rPr>
              <w:t>excluded effect</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bm25</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repr_group</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repr_both</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0.0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r>
        <w:tc>
          <w:tcPr>
            <w:tcW w:type="dxa" w:w="1205"/>
          </w:tcPr>
          <w:p>
            <w:pPr>
              <w:spacing w:line="240" w:lineRule="auto" w:after="0"/>
            </w:pPr>
            <w:r>
              <w:rPr>
                <w:rFonts w:ascii="Times New Roman" w:hAnsi="Times New Roman" w:eastAsia="SimSun"/>
                <w:sz w:val="19"/>
              </w:rPr>
              <w:t>dense</w:t>
            </w:r>
          </w:p>
        </w:tc>
        <w:tc>
          <w:tcPr>
            <w:tcW w:type="dxa" w:w="1205"/>
          </w:tcPr>
          <w:p>
            <w:pPr>
              <w:spacing w:line="240" w:lineRule="auto" w:after="0"/>
            </w:pPr>
            <w:r>
              <w:rPr>
                <w:rFonts w:ascii="Times New Roman" w:hAnsi="Times New Roman" w:eastAsia="SimSun"/>
                <w:sz w:val="19"/>
              </w:rPr>
              <w:t>repr_stance</w:t>
            </w:r>
          </w:p>
        </w:tc>
        <w:tc>
          <w:tcPr>
            <w:tcW w:type="dxa" w:w="1205"/>
          </w:tcPr>
          <w:p>
            <w:pPr>
              <w:spacing w:line="240" w:lineRule="auto" w:after="0"/>
            </w:pPr>
            <w:r>
              <w:rPr>
                <w:rFonts w:ascii="Times New Roman" w:hAnsi="Times New Roman" w:eastAsia="SimSun"/>
                <w:sz w:val="19"/>
              </w:rPr>
              <w:t>1.0</w:t>
            </w:r>
          </w:p>
        </w:tc>
        <w:tc>
          <w:tcPr>
            <w:tcW w:type="dxa" w:w="1205"/>
          </w:tcPr>
          <w:p>
            <w:pPr>
              <w:spacing w:line="240" w:lineRule="auto" w:after="0"/>
            </w:pPr>
            <w:r>
              <w:rPr>
                <w:rFonts w:ascii="Times New Roman" w:hAnsi="Times New Roman" w:eastAsia="SimSun"/>
                <w:sz w:val="19"/>
              </w:rPr>
              <w:t>48</w:t>
            </w:r>
          </w:p>
        </w:tc>
        <w:tc>
          <w:tcPr>
            <w:tcW w:type="dxa" w:w="1205"/>
          </w:tcPr>
          <w:p>
            <w:pPr>
              <w:spacing w:line="240" w:lineRule="auto" w:after="0"/>
            </w:pPr>
            <w:r>
              <w:rPr>
                <w:rFonts w:ascii="Times New Roman" w:hAnsi="Times New Roman" w:eastAsia="SimSun"/>
                <w:sz w:val="19"/>
              </w:rPr>
              <w:t>+0.0000</w:t>
            </w:r>
          </w:p>
        </w:tc>
        <w:tc>
          <w:tcPr>
            <w:tcW w:type="dxa" w:w="1205"/>
          </w:tcPr>
          <w:p>
            <w:pPr>
              <w:spacing w:line="240" w:lineRule="auto" w:after="0"/>
            </w:pPr>
            <w:r>
              <w:rPr>
                <w:rFonts w:ascii="Times New Roman" w:hAnsi="Times New Roman" w:eastAsia="SimSun"/>
                <w:sz w:val="19"/>
              </w:rPr>
              <w:t>[+0.0000, +0.0000]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Where the constraint changes nothing, the per-query difference vector is </w:t>
      </w:r>
      <w:r>
        <w:rPr>
          <w:rFonts w:ascii="Times New Roman" w:hAnsi="Times New Roman" w:eastAsia="SimSun"/>
          <w:b/>
          <w:sz w:val="22"/>
        </w:rPr>
        <w:t>identically zero</w:t>
      </w:r>
      <w:r>
        <w:rPr>
          <w:rFonts w:ascii="Times New Roman" w:hAnsi="Times New Roman" w:eastAsia="SimSun"/>
          <w:sz w:val="22"/>
        </w:rPr>
        <w:t xml:space="preserve">, not merely small: the bootstrap CI collapses to [0, 0] and the permutation test is degenerate by construction. The informative statistic is therefore the equivalence bound — the smallest effect the data exclude — and because the differences are exactly zero rather than approximately zero, these cells exclude </w:t>
      </w:r>
      <w:r>
        <w:rPr>
          <w:rFonts w:ascii="Times New Roman" w:hAnsi="Times New Roman" w:eastAsia="SimSun"/>
          <w:i/>
          <w:sz w:val="22"/>
        </w:rPr>
        <w:t>any</w:t>
      </w:r>
      <w:r>
        <w:rPr>
          <w:rFonts w:ascii="Times New Roman" w:hAnsi="Times New Roman" w:eastAsia="SimSun"/>
          <w:sz w:val="22"/>
        </w:rPr>
        <w:t xml:space="preserve"> effect on adversarial-passage inclusion, not merely one above a threshold. The </w:t>
      </w:r>
      <w:r>
        <w:rPr>
          <w:rFonts w:ascii="Consolas" w:hAnsi="Consolas" w:eastAsia="Consolas"/>
          <w:sz w:val="21"/>
        </w:rPr>
        <w:t>repr_stance</w:t>
      </w:r>
      <w:r>
        <w:rPr>
          <w:rFonts w:ascii="Times New Roman" w:hAnsi="Times New Roman" w:eastAsia="SimSun"/>
          <w:sz w:val="22"/>
        </w:rPr>
        <w:t xml:space="preserve"> rows are the contrast case: there the constraint does change the selection, the difference vector is non-degenerate, and both the CI and the p-value are meaningful.</w:t>
      </w:r>
    </w:p>
    <w:p>
      <w:r>
        <w:rPr>
          <w:rFonts w:ascii="Times New Roman" w:hAnsi="Times New Roman" w:eastAsia="SimSun"/>
          <w:sz w:val="22"/>
        </w:rPr>
        <w:t xml:space="preserve">The point of Table B1 is the last column. For the R1-only and joint constraints the difference is zero per query, so the CI is [0, 0] and the equivalence bound is ±0.0000: the data exclude any effect on adversarial inclusion, not merely an effect above some threshold. The </w:t>
      </w:r>
      <w:r>
        <w:rPr>
          <w:rFonts w:ascii="Consolas" w:hAnsi="Consolas" w:eastAsia="Consolas"/>
          <w:sz w:val="21"/>
        </w:rPr>
        <w:t>repr_stance</w:t>
      </w:r>
      <w:r>
        <w:rPr>
          <w:rFonts w:ascii="Times New Roman" w:hAnsi="Times New Roman" w:eastAsia="SimSun"/>
          <w:sz w:val="22"/>
        </w:rPr>
        <w:t xml:space="preserve"> rows are included as a contrast, since there the constraint genuinely changes the selection.</w:t>
      </w:r>
    </w:p>
    <w:p>
      <w:pPr>
        <w:spacing w:before="240" w:after="120"/>
      </w:pPr>
      <w:r>
        <w:rPr>
          <w:rFonts w:ascii="Times New Roman" w:hAnsi="Times New Roman" w:eastAsia="Microsoft YaHei"/>
          <w:b/>
          <w:sz w:val="28"/>
        </w:rPr>
        <w:t>Appendix C. Secondary tables</w:t>
      </w:r>
    </w:p>
    <w:p>
      <w:r>
        <w:rPr>
          <w:rFonts w:ascii="Times New Roman" w:hAnsi="Times New Roman" w:eastAsia="SimSun"/>
          <w:sz w:val="22"/>
        </w:rPr>
        <w:t>Tables moved out of the main body to keep it readable. Each is referenced from the section that discusses it.</w:t>
      </w:r>
    </w:p>
    <w:p>
      <w:r>
        <w:rPr>
          <w:rFonts w:ascii="Times New Roman" w:hAnsi="Times New Roman" w:eastAsia="SimSun"/>
          <w:b/>
          <w:sz w:val="22"/>
        </w:rPr>
        <w:t>Table C1.</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 Controlled corpus, $\rho = 2\%$.</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b/>
          <w:sz w:val="22"/>
        </w:rPr>
        <w:t>Table C2.</w:t>
      </w:r>
      <w:r>
        <w:rPr>
          <w:rFonts w:ascii="Times New Roman" w:hAnsi="Times New Roman" w:eastAsia="SimSun"/>
          <w:sz w:val="22"/>
        </w:rPr>
        <w:t xml:space="preserve"> The first generation-layer measurement, with the forced-choice probe on a single generator. Superseded by Table 12; kept because the contrast between the two is the point.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Table C3.</w:t>
      </w:r>
      <w:r>
        <w:rPr>
          <w:rFonts w:ascii="Times New Roman" w:hAnsi="Times New Roman" w:eastAsia="SimSun"/>
          <w:sz w:val="22"/>
        </w:rPr>
        <w:t xml:space="preserve"> Prop. 1 prediction vs. measurement. R1-only constraint (</w:t>
      </w:r>
      <w:r>
        <w:rPr>
          <w:rFonts w:ascii="Consolas" w:hAnsi="Consolas" w:eastAsia="Consolas"/>
          <w:sz w:val="21"/>
        </w:rPr>
        <w:t>repr_group</w:t>
      </w:r>
      <w:r>
        <w:rPr>
          <w:rFonts w:ascii="Times New Roman" w:hAnsi="Times New Roman" w:eastAsia="SimSun"/>
          <w:sz w:val="22"/>
        </w:rPr>
        <w:t>), strongest attack, largest injection rate per corpus; Δ = constrained minus no defense.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Corpus / retriever</w:t>
            </w:r>
          </w:p>
        </w:tc>
        <w:tc>
          <w:tcPr>
            <w:tcW w:type="dxa" w:w="1606"/>
            <w:shd w:val="clear" w:color="auto" w:fill="DCE6F1"/>
          </w:tcPr>
          <w:p>
            <w:pPr>
              <w:spacing w:line="240" w:lineRule="auto" w:after="0"/>
            </w:pPr>
            <w:r>
              <w:rPr>
                <w:rFonts w:ascii="Times New Roman" w:hAnsi="Times New Roman" w:eastAsia="SimSun"/>
                <w:b/>
                <w:sz w:val="19"/>
              </w:rPr>
              <w:t>ε=1.0</w:t>
            </w:r>
          </w:p>
        </w:tc>
        <w:tc>
          <w:tcPr>
            <w:tcW w:type="dxa" w:w="1606"/>
            <w:shd w:val="clear" w:color="auto" w:fill="DCE6F1"/>
          </w:tcPr>
          <w:p>
            <w:pPr>
              <w:spacing w:line="240" w:lineRule="auto" w:after="0"/>
            </w:pPr>
            <w:r>
              <w:rPr>
                <w:rFonts w:ascii="Times New Roman" w:hAnsi="Times New Roman" w:eastAsia="SimSun"/>
                <w:b/>
                <w:sz w:val="19"/>
              </w:rPr>
              <w:t>ε=0.5</w:t>
            </w:r>
          </w:p>
        </w:tc>
        <w:tc>
          <w:tcPr>
            <w:tcW w:type="dxa" w:w="1606"/>
            <w:shd w:val="clear" w:color="auto" w:fill="DCE6F1"/>
          </w:tcPr>
          <w:p>
            <w:pPr>
              <w:spacing w:line="240" w:lineRule="auto" w:after="0"/>
            </w:pPr>
            <w:r>
              <w:rPr>
                <w:rFonts w:ascii="Times New Roman" w:hAnsi="Times New Roman" w:eastAsia="SimSun"/>
                <w:b/>
                <w:sz w:val="19"/>
              </w:rPr>
              <w:t>ε=0.25</w:t>
            </w:r>
          </w:p>
        </w:tc>
        <w:tc>
          <w:tcPr>
            <w:tcW w:type="dxa" w:w="1606"/>
            <w:shd w:val="clear" w:color="auto" w:fill="DCE6F1"/>
          </w:tcPr>
          <w:p>
            <w:pPr>
              <w:spacing w:line="240" w:lineRule="auto" w:after="0"/>
            </w:pPr>
            <w:r>
              <w:rPr>
                <w:rFonts w:ascii="Times New Roman" w:hAnsi="Times New Roman" w:eastAsia="SimSun"/>
                <w:b/>
                <w:sz w:val="19"/>
              </w:rPr>
              <w:t>ε=0.1</w:t>
            </w:r>
          </w:p>
        </w:tc>
        <w:tc>
          <w:tcPr>
            <w:tcW w:type="dxa" w:w="1606"/>
            <w:shd w:val="clear" w:color="auto" w:fill="DCE6F1"/>
          </w:tcPr>
          <w:p>
            <w:pPr>
              <w:spacing w:line="240" w:lineRule="auto" w:after="0"/>
            </w:pPr>
            <w:r>
              <w:rPr>
                <w:rFonts w:ascii="Times New Roman" w:hAnsi="Times New Roman" w:eastAsia="SimSun"/>
                <w:b/>
                <w:sz w:val="19"/>
              </w:rPr>
              <w:t>ε=0.0</w:t>
            </w:r>
          </w:p>
        </w:tc>
      </w:tr>
      <w:tr>
        <w:tc>
          <w:tcPr>
            <w:tcW w:type="dxa" w:w="1606"/>
          </w:tcPr>
          <w:p>
            <w:pPr>
              <w:spacing w:line="240" w:lineRule="auto" w:after="0"/>
            </w:pPr>
            <w:r>
              <w:rPr>
                <w:rFonts w:ascii="Times New Roman" w:hAnsi="Times New Roman" w:eastAsia="SimSun"/>
                <w:sz w:val="19"/>
              </w:rPr>
              <w:t>controlled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BM25</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BBQ / feature-hash dense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GTE-base</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r>
        <w:tc>
          <w:tcPr>
            <w:tcW w:type="dxa" w:w="1606"/>
          </w:tcPr>
          <w:p>
            <w:pPr>
              <w:spacing w:line="240" w:lineRule="auto" w:after="0"/>
            </w:pPr>
            <w:r>
              <w:rPr>
                <w:rFonts w:ascii="Times New Roman" w:hAnsi="Times New Roman" w:eastAsia="SimSun"/>
                <w:sz w:val="19"/>
              </w:rPr>
              <w:t>controlled / Contriever</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0.000</w:t>
            </w:r>
          </w:p>
        </w:tc>
      </w:tr>
    </w:tbl>
    <w:p/>
    <w:p>
      <w:r>
        <w:rPr>
          <w:rFonts w:ascii="Times New Roman" w:hAnsi="Times New Roman" w:eastAsia="SimSun"/>
          <w:b/>
          <w:sz w:val="22"/>
        </w:rPr>
        <w:t>Table C4.</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b/>
          <w:sz w:val="22"/>
        </w:rPr>
        <w:t>Table C5.</w:t>
      </w:r>
      <w:r>
        <w:rPr>
          <w:rFonts w:ascii="Times New Roman" w:hAnsi="Times New Roman" w:eastAsia="SimSun"/>
          <w:sz w:val="22"/>
        </w:rPr>
        <w:t xml:space="preserve"> Bootstrap 95% CIs on the positive claims (per-question values, 10,000 resamples,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mean</w:t>
            </w:r>
          </w:p>
        </w:tc>
        <w:tc>
          <w:tcPr>
            <w:tcW w:type="dxa" w:w="1928"/>
            <w:shd w:val="clear" w:color="auto" w:fill="DCE6F1"/>
          </w:tcPr>
          <w:p>
            <w:pPr>
              <w:spacing w:line="240" w:lineRule="auto" w:after="0"/>
            </w:pPr>
            <w:r>
              <w:rPr>
                <w:rFonts w:ascii="Times New Roman" w:hAnsi="Times New Roman" w:eastAsia="SimSun"/>
                <w:b/>
                <w:sz w:val="19"/>
              </w:rPr>
              <w:t>95% CI</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0.0000</w:t>
            </w:r>
          </w:p>
        </w:tc>
        <w:tc>
          <w:tcPr>
            <w:tcW w:type="dxa" w:w="1928"/>
          </w:tcPr>
          <w:p>
            <w:pPr>
              <w:spacing w:line="240" w:lineRule="auto" w:after="0"/>
            </w:pPr>
            <w:r>
              <w:rPr>
                <w:rFonts w:ascii="Times New Roman" w:hAnsi="Times New Roman" w:eastAsia="SimSun"/>
                <w:sz w:val="19"/>
              </w:rPr>
              <w:t>[0.0000, 0.0000]</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0.6167</w:t>
            </w:r>
          </w:p>
        </w:tc>
        <w:tc>
          <w:tcPr>
            <w:tcW w:type="dxa" w:w="1928"/>
          </w:tcPr>
          <w:p>
            <w:pPr>
              <w:spacing w:line="240" w:lineRule="auto" w:after="0"/>
            </w:pPr>
            <w:r>
              <w:rPr>
                <w:rFonts w:ascii="Times New Roman" w:hAnsi="Times New Roman" w:eastAsia="SimSun"/>
                <w:sz w:val="19"/>
              </w:rPr>
              <w:t>[0.4556, 0.7667]</w:t>
            </w:r>
          </w:p>
        </w:tc>
      </w:tr>
      <w:tr>
        <w:tc>
          <w:tcPr>
            <w:tcW w:type="dxa" w:w="1928"/>
          </w:tcPr>
          <w:p>
            <w:pPr>
              <w:spacing w:line="240" w:lineRule="auto" w:after="0"/>
            </w:pPr>
            <w:r>
              <w:rPr>
                <w:rFonts w:ascii="Times New Roman" w:hAnsi="Times New Roman" w:eastAsia="SimSun"/>
                <w:sz w:val="19"/>
              </w:rPr>
              <w:t>template</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0.0812</w:t>
            </w:r>
          </w:p>
        </w:tc>
        <w:tc>
          <w:tcPr>
            <w:tcW w:type="dxa" w:w="1928"/>
          </w:tcPr>
          <w:p>
            <w:pPr>
              <w:spacing w:line="240" w:lineRule="auto" w:after="0"/>
            </w:pPr>
            <w:r>
              <w:rPr>
                <w:rFonts w:ascii="Times New Roman" w:hAnsi="Times New Roman" w:eastAsia="SimSun"/>
                <w:sz w:val="19"/>
              </w:rPr>
              <w:t>[0.0438, 0.1208]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[0.6068, 0.8718]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[0.1062, 0.2208]</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R2 stance gap</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[1.0000, 1.0000]</w:t>
            </w:r>
          </w:p>
        </w:tc>
      </w:tr>
      <w:tr>
        <w:tc>
          <w:tcPr>
            <w:tcW w:type="dxa" w:w="1928"/>
          </w:tcPr>
          <w:p>
            <w:pPr>
              <w:spacing w:line="240" w:lineRule="auto" w:after="0"/>
            </w:pPr>
            <w:r>
              <w:rPr>
                <w:rFonts w:ascii="Times New Roman" w:hAnsi="Times New Roman" w:eastAsia="SimSun"/>
                <w:sz w:val="19"/>
              </w:rPr>
              <w:t>template_plus_projection</w:t>
            </w:r>
          </w:p>
        </w:tc>
        <w:tc>
          <w:tcPr>
            <w:tcW w:type="dxa" w:w="1928"/>
          </w:tcPr>
          <w:p>
            <w:pPr>
              <w:spacing w:line="240" w:lineRule="auto" w:after="0"/>
            </w:pPr>
            <w:r>
              <w:rPr>
                <w:rFonts w:ascii="Times New Roman" w:hAnsi="Times New Roman" w:eastAsia="SimSun"/>
                <w:sz w:val="19"/>
              </w:rPr>
              <w:t>dense</w:t>
            </w:r>
          </w:p>
        </w:tc>
        <w:tc>
          <w:tcPr>
            <w:tcW w:type="dxa" w:w="1928"/>
          </w:tcPr>
          <w:p>
            <w:pPr>
              <w:spacing w:line="240" w:lineRule="auto" w:after="0"/>
            </w:pPr>
            <w:r>
              <w:rPr>
                <w:rFonts w:ascii="Times New Roman" w:hAnsi="Times New Roman" w:eastAsia="SimSun"/>
                <w:sz w:val="19"/>
              </w:rPr>
              <w:t>R1 drift (TV)</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[0.1187, 0.2083]</w:t>
            </w:r>
          </w:p>
        </w:tc>
      </w:tr>
    </w:tbl>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