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We show that these statistics are </w:t>
      </w:r>
      <w:r>
        <w:rPr>
          <w:rFonts w:ascii="Times New Roman" w:hAnsi="Times New Roman" w:eastAsia="SimSun"/>
          <w:b/>
          <w:sz w:val="22"/>
        </w:rPr>
        <w:t>blind to the attack they are meant to detect</w:t>
      </w:r>
      <w:r>
        <w:rPr>
          <w:rFonts w:ascii="Times New Roman" w:hAnsi="Times New Roman" w:eastAsia="SimSun"/>
          <w:sz w:val="22"/>
        </w:rPr>
        <w:t>, and we identify the property they all share that makes them blind.</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injection moves the suppressed group's stance by −0.13 to −0.18 and the favoured group's by +0.13, consistently across </w:t>
      </w:r>
      <w:r>
        <w:rPr>
          <w:rFonts w:ascii="Times New Roman" w:hAnsi="Times New Roman" w:eastAsia="SimSun"/>
          <w:b/>
          <w:sz w:val="22"/>
        </w:rPr>
        <w:t>three generators from two model families</w:t>
      </w:r>
      <w:r>
        <w:rPr>
          <w:rFonts w:ascii="Times New Roman" w:hAnsi="Times New Roman" w:eastAsia="SimSun"/>
          <w:sz w:val="22"/>
        </w:rPr>
        <w:t xml:space="preserve"> at $p \le 0.0035$; the absolute gap moves by less than 0.002 for two of the three. We reproduced, one level up, the exact error we identify at the retrieval layer.</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and an analysis of which aggregate statistics are sensitive to it (§3, §5.1).</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3.</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4.</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5.</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6.</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7.</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8.</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8's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b/>
          <w:sz w:val="22"/>
        </w:rPr>
        <w:t>Table 9.</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b/>
          <w:sz w:val="22"/>
        </w:rPr>
        <w:t>Table 10.</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10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The retrieval-layer skew propagates to the generated output, and it replicates across three independent generators — but only when the two groups are measured separately.</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three generators from two model families. The per-group shifts are large, consistent in sign, and highly significant everywhere:</w:t>
      </w:r>
    </w:p>
    <w:p>
      <w:r>
        <w:rPr>
          <w:rFonts w:ascii="Times New Roman" w:hAnsi="Times New Roman" w:eastAsia="SimSun"/>
          <w:b/>
          <w:sz w:val="22"/>
        </w:rPr>
        <w:t>Table 11.</w:t>
      </w:r>
      <w:r>
        <w:rPr>
          <w:rFonts w:ascii="Times New Roman" w:hAnsi="Times New Roman" w:eastAsia="SimSun"/>
          <w:sz w:val="22"/>
        </w:rPr>
        <w:t xml:space="preserve"> Generation-layer stance, entailment-scored, three generators.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preliminary, and we now know specifically why.</w:t>
      </w:r>
      <w:r>
        <w:rPr>
          <w:rFonts w:ascii="Times New Roman" w:hAnsi="Times New Roman" w:eastAsia="SimSun"/>
          <w:sz w:val="22"/>
        </w:rPr>
        <w:t xml:space="preserve"> We evaluate at the retrieval layer by design, so the R1/R2 mechanism is measurable without a generator. §5.7 adds a first generation-stage check on a single generator and one backbone; it establishes that the retrieval skew reaches the output and that it saturates one group, but not the magnitude. Three concrete limits, all uncovered while building a larger evaluation:</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11;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