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r>
        <w:rPr>
          <w:rFonts w:ascii="Times New Roman" w:hAnsi="Times New Roman" w:eastAsia="SimSun"/>
          <w:sz w:val="22"/>
        </w:rPr>
        <w:t>&lt;!-- SUBMISSION ARTIFACT — entered in the journal submission system, not typeset into the manuscript.</w:t>
      </w:r>
    </w:p>
    <w:p>
      <w:r>
        <w:rPr>
          <w:rFonts w:ascii="Times New Roman" w:hAnsi="Times New Roman" w:eastAsia="SimSun"/>
          <w:sz w:val="22"/>
        </w:rPr>
        <w:t>Highlights (3-5 items, each &lt;= 85 characters):</w:t>
      </w:r>
    </w:p>
    <w:p>
      <w:pPr>
        <w:pStyle w:val="ListBullet"/>
        <w:spacing w:line="360" w:lineRule="auto"/>
      </w:pPr>
      <w:r>
        <w:rPr>
          <w:rFonts w:ascii="Times New Roman" w:hAnsi="Times New Roman" w:eastAsia="SimSun"/>
          <w:sz w:val="22"/>
        </w:rPr>
        <w:t>Aggregate fairness statistics are adversarially invariant by structure</w:t>
      </w:r>
    </w:p>
    <w:p>
      <w:pPr>
        <w:pStyle w:val="ListBullet"/>
        <w:spacing w:line="360" w:lineRule="auto"/>
      </w:pPr>
      <w:r>
        <w:rPr>
          <w:rFonts w:ascii="Times New Roman" w:hAnsi="Times New Roman" w:eastAsia="SimSun"/>
          <w:sz w:val="22"/>
        </w:rPr>
        <w:t>Three predictable modes defeat composition, reference and difference metrics</w:t>
      </w:r>
    </w:p>
    <w:p>
      <w:pPr>
        <w:pStyle w:val="ListBullet"/>
        <w:spacing w:line="360" w:lineRule="auto"/>
      </w:pPr>
      <w:r>
        <w:rPr>
          <w:rFonts w:ascii="Times New Roman" w:hAnsi="Times New Roman" w:eastAsia="SimSun"/>
          <w:sz w:val="22"/>
        </w:rPr>
        <w:t>Per-group shifts move 0.13 where the cross-group gap moves under 0.002</w:t>
      </w:r>
    </w:p>
    <w:p>
      <w:pPr>
        <w:pStyle w:val="ListBullet"/>
        <w:spacing w:line="360" w:lineRule="auto"/>
      </w:pPr>
      <w:r>
        <w:rPr>
          <w:rFonts w:ascii="Times New Roman" w:hAnsi="Times New Roman" w:eastAsia="SimSun"/>
          <w:sz w:val="22"/>
        </w:rPr>
        <w:t>Static defense advantage is largest on the encoders the field uses</w:t>
      </w:r>
    </w:p>
    <w:p>
      <w:pPr>
        <w:pStyle w:val="ListBullet"/>
        <w:spacing w:line="360" w:lineRule="auto"/>
      </w:pPr>
      <w:r>
        <w:rPr>
          <w:rFonts w:ascii="Times New Roman" w:hAnsi="Times New Roman" w:eastAsia="SimSun"/>
          <w:sz w:val="22"/>
        </w:rPr>
        <w:t>A six-point protocol makes retrieval robustness claims interpretable</w:t>
      </w:r>
    </w:p>
    <w:p>
      <w:r>
        <w:rPr>
          <w:rFonts w:ascii="Times New Roman" w:hAnsi="Times New Roman" w:eastAsia="SimSun"/>
          <w:sz w:val="22"/>
        </w:rPr>
        <w:t>--&gt;</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the framework's applicability is bounded by the availability of group- and stance-annotated passages, which is an infrastructure problem for the field rather than a computation.</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15.</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