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i w:val="0"/>
          <w:sz w:val="26"/>
        </w:rPr>
        <w:t>Cover letter</w:t>
      </w:r>
    </w:p>
    <w:p>
      <w:pPr>
        <w:spacing w:after="160"/>
      </w:pPr>
      <w:r>
        <w:rPr>
          <w:b w:val="0"/>
          <w:i w:val="0"/>
        </w:rPr>
        <w:t>To: The Editors-in-Chief, Information Processing &amp; Management</w:t>
      </w:r>
    </w:p>
    <w:p>
      <w:pPr>
        <w:spacing w:after="160"/>
      </w:pPr>
      <w:r>
        <w:rPr>
          <w:b w:val="0"/>
          <w:i w:val="0"/>
        </w:rPr>
        <w:t>Manuscript title: Adversarially Invariant Fairness Statistics: Why Aggregate Retrieval-Fairness Metrics Cannot Detect Pairwise Poisoning</w:t>
      </w:r>
    </w:p>
    <w:p>
      <w:pPr>
        <w:spacing w:after="160"/>
      </w:pPr>
      <w:r>
        <w:rPr>
          <w:b w:val="0"/>
          <w:i w:val="0"/>
        </w:rPr>
        <w:t>Author: Lu Jiang, School of Electronic and Optical Engineering, Nanjing University of Science and Technology</w:t>
      </w:r>
    </w:p>
    <w:p>
      <w:pPr>
        <w:spacing w:after="160"/>
      </w:pPr>
      <w:r>
        <w:rPr>
          <w:b w:val="0"/>
          <w:i w:val="0"/>
        </w:rPr>
        <w:t>Corresponding author: Lu Jiang (lujiang12@njust.edu.cn), ORCID 0009-0001-0717-2732</w:t>
      </w:r>
    </w:p>
    <w:p>
      <w:pPr>
        <w:spacing w:after="160"/>
      </w:pPr>
      <w:r>
        <w:rPr>
          <w:b w:val="0"/>
          <w:i w:val="0"/>
        </w:rPr>
        <w:t>Dear Editors,</w:t>
      </w:r>
    </w:p>
    <w:p>
      <w:pPr>
        <w:spacing w:after="160"/>
      </w:pPr>
      <w:r>
        <w:rPr>
          <w:b w:val="0"/>
          <w:i w:val="0"/>
        </w:rPr>
        <w:t>I am submitting the manuscript above for consideration as a research article in Information Processing &amp; Management.</w:t>
      </w:r>
    </w:p>
    <w:p>
      <w:pPr>
        <w:spacing w:after="160"/>
      </w:pPr>
      <w:r>
        <w:rPr>
          <w:b/>
          <w:i w:val="0"/>
          <w:sz w:val="23"/>
        </w:rPr>
        <w:t>What the paper establishes</w:t>
      </w:r>
    </w:p>
    <w:p>
      <w:pPr>
        <w:spacing w:after="160"/>
      </w:pPr>
      <w:r>
        <w:rPr>
          <w:b w:val="0"/>
          <w:i w:val="0"/>
        </w:rPr>
        <w:t>Fairness defenses for retrieval-augmented generation are selected, tuned and validated by aggregate statistics of the retrieved set — the share of passages about each protected group, a group's stance relative to a corpus reference, or exposure across requests. Because a defense is only as sensitive as the statistic that selects it, an adversary who can hold that statistic at its clean value defeats the defense selection without ever touching the defense.</w:t>
      </w:r>
    </w:p>
    <w:p>
      <w:pPr>
        <w:spacing w:after="160"/>
      </w:pPr>
      <w:r>
        <w:rPr>
          <w:b w:val="0"/>
          <w:i w:val="0"/>
        </w:rPr>
        <w:t>The paper shows that this is not a weakness of any particular metric but a structural property of the class, and that it can be checked before any attack is built. Every statistic in this literature has the form of a per-group quantity aggregated across groups, and an adversary can preserve the aggregate in exactly three ways: by balancing the quantity it counts, by anchoring it to a reference the attack leaves intact, or by moving all groups together so a difference between them cancels. The three modes are a falsifiable test rather than a description: applied to published metrics they predict which will be blind, and the predictions hold.</w:t>
      </w:r>
    </w:p>
    <w:p>
      <w:pPr>
        <w:spacing w:after="160"/>
      </w:pPr>
      <w:r>
        <w:rPr>
          <w:b w:val="0"/>
          <w:i w:val="0"/>
        </w:rPr>
        <w:t>Three things support the claim rather than merely asserting it. A positive control in which the ground truth changes by a known amount while corpus size is held fixed shows the indicted statistics are working instruments that respond monotonically in the correct direction — the invariance is to this adversary, not instrument failure. The R1 composition constraint is then inert with an equivalence bound of exactly ±0.0000, because the unconstrained baseline already admits adversarial passages on every query where it can, leaving no headroom for a reduction to appear. And a defense-aware attacker inverts the static ranking of defenses across six retrieval back-ends: the strongest defense's static advantage is largest on the pretrained encoders the compared literature uses, and no defense retains measurable benefit beyond one perturbation step.</w:t>
      </w:r>
    </w:p>
    <w:p>
      <w:pPr>
        <w:spacing w:after="160"/>
      </w:pPr>
      <w:r>
        <w:rPr>
          <w:b/>
          <w:i w:val="0"/>
          <w:sz w:val="23"/>
        </w:rPr>
        <w:t>Why this belongs in IP&amp;M</w:t>
      </w:r>
    </w:p>
    <w:p>
      <w:pPr>
        <w:spacing w:after="160"/>
      </w:pPr>
      <w:r>
        <w:rPr>
          <w:b w:val="0"/>
          <w:i w:val="0"/>
        </w:rPr>
        <w:t>The contribution is a measurement result about retrieval evaluation, not another defense. IP&amp;M publishes the evaluation methodology that retrieval and fairness work is built on, and this paper addresses a question that sits underneath that methodology: whether a reported fairness statistic can see the attack it is reported against. The practical output is a reporting protocol — per-group shifts rather than cross-group differences, adversarial inclusion as a function of attacker strength rather than at one operating point, the encoder reported as a factor, equivalence bounds for null claims, and the threat model stated explicitly. Each is cheap, and together they change what a robustness claim has to contain.</w:t>
      </w:r>
    </w:p>
    <w:p>
      <w:pPr>
        <w:spacing w:after="160"/>
      </w:pPr>
      <w:r>
        <w:rPr>
          <w:b/>
          <w:i w:val="0"/>
          <w:sz w:val="23"/>
        </w:rPr>
        <w:t>Section 5.9, and why I want to draw your attention to it</w:t>
      </w:r>
    </w:p>
    <w:p>
      <w:pPr>
        <w:spacing w:after="160"/>
      </w:pPr>
      <w:r>
        <w:rPr>
          <w:b w:val="0"/>
          <w:i w:val="0"/>
        </w:rPr>
        <w:t>The invariance is conditional, and section 5.9 measures the condition rather than leaving it to be discovered. The same balanced pairwise injection applied to four back-ends leaves composition at exactly 0.0000 on one of them and moves it on the other three (0.1750 dense, 0.2280 BM25, 0.2250 SPLADE) — and the relation is not monotone in the relocated fraction, so it cannot be extrapolated and has to be measured. The balanced pairwise construction is therefore a sufficient condition for the invariance, not a universal one.</w:t>
      </w:r>
    </w:p>
    <w:p>
      <w:pPr>
        <w:spacing w:after="160"/>
      </w:pPr>
      <w:r>
        <w:rPr>
          <w:b w:val="0"/>
          <w:i w:val="0"/>
        </w:rPr>
        <w:t>I raise this in the letter rather than letting a reviewer find it because it is, in my view, a result and not a concession: it tells a practitioner which regime they are in, and it is what makes the paper's three-question test usable — the test predicts invariance for a stated back-end and threat model, and section 5.9 supplies the check. A paper reporting a null aggregate cannot interpret that null without it.</w:t>
      </w:r>
    </w:p>
    <w:p>
      <w:pPr>
        <w:spacing w:after="160"/>
      </w:pPr>
      <w:r>
        <w:rPr>
          <w:b w:val="0"/>
          <w:i w:val="0"/>
        </w:rPr>
        <w:t>I have also stated the framework's power bound plainly. The per-group statistic is a batch average, so its precision depends on the number of independent strata rather than on sample size; on a corpus whose queries instantiate a small template set, adding queries repeats the same texts. Section 8.1 records this with the measurement that exposed it.</w:t>
      </w:r>
    </w:p>
    <w:p>
      <w:pPr>
        <w:spacing w:after="160"/>
      </w:pPr>
      <w:r>
        <w:rPr>
          <w:b/>
          <w:i w:val="0"/>
          <w:sz w:val="23"/>
        </w:rPr>
        <w:t>Declarations</w:t>
      </w:r>
    </w:p>
    <w:p>
      <w:pPr>
        <w:pStyle w:val="ListBullet"/>
        <w:spacing w:after="80"/>
      </w:pPr>
      <w:r>
        <w:t>The manuscript is original, has not been published previously, and is not under consideration elsewhere.</w:t>
      </w:r>
    </w:p>
    <w:p>
      <w:pPr>
        <w:pStyle w:val="ListBullet"/>
        <w:spacing w:after="80"/>
      </w:pPr>
      <w:r>
        <w:t>The author has no competing interests to declare.</w:t>
      </w:r>
    </w:p>
    <w:p>
      <w:pPr>
        <w:pStyle w:val="ListBullet"/>
        <w:spacing w:after="80"/>
      </w:pPr>
      <w:r>
        <w:t>All results are reproducible from the released code and configuration files; data and code availability are stated in the manuscript.</w:t>
      </w:r>
    </w:p>
    <w:p>
      <w:pPr>
        <w:pStyle w:val="ListBullet"/>
        <w:spacing w:after="80"/>
      </w:pPr>
      <w:r>
        <w:t>The use of generative AI in the preparation of the manuscript is declared in full in the manuscript, as required.</w:t>
      </w:r>
    </w:p>
    <w:p>
      <w:pPr>
        <w:pStyle w:val="ListBullet"/>
        <w:spacing w:after="80"/>
      </w:pPr>
      <w:r>
        <w:t>Suggested reviewers are not supplied, to avoid any conflict of interest; I am happy to provide names on request.</w:t>
      </w:r>
    </w:p>
    <w:p>
      <w:pPr>
        <w:spacing w:after="160"/>
      </w:pPr>
      <w:r>
        <w:rPr>
          <w:b w:val="0"/>
          <w:i w:val="0"/>
        </w:rPr>
        <w:t>Thank you for considering this work. I would be glad to provide any further information the editorial office requires.</w:t>
      </w:r>
    </w:p>
    <w:p>
      <w:pPr>
        <w:spacing w:after="160"/>
      </w:pPr>
      <w:r>
        <w:rPr>
          <w:b w:val="0"/>
          <w:i w:val="0"/>
        </w:rPr>
        <w:t>Yours sincerely,</w:t>
      </w:r>
    </w:p>
    <w:p>
      <w:pPr>
        <w:spacing w:after="160"/>
      </w:pPr>
      <w:r>
        <w:rPr>
          <w:b w:val="0"/>
          <w:i w:val="0"/>
        </w:rPr>
        <w:t>Lu Jiang</w:t>
      </w:r>
    </w:p>
    <w:p>
      <w:pPr>
        <w:spacing w:after="160"/>
      </w:pPr>
      <w:r>
        <w:rPr>
          <w:b w:val="0"/>
          <w:i w:val="0"/>
        </w:rPr>
        <w:t>School of Electronic and Optical Engineering</w:t>
      </w:r>
    </w:p>
    <w:p>
      <w:pPr>
        <w:spacing w:after="160"/>
      </w:pPr>
      <w:r>
        <w:rPr>
          <w:b w:val="0"/>
          <w:i w:val="0"/>
        </w:rPr>
        <w:t>Nanjing University of Science and Technology</w:t>
      </w:r>
    </w:p>
    <w:p>
      <w:pPr>
        <w:spacing w:after="160"/>
      </w:pPr>
      <w:r>
        <w:rPr>
          <w:b w:val="0"/>
          <w:i w:val="0"/>
        </w:rPr>
        <w:t>lujiang12@njust.edu.cn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