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i w:val="0"/>
          <w:sz w:val="26"/>
        </w:rPr>
        <w:t>Highlights</w:t>
      </w:r>
    </w:p>
    <w:p>
      <w:pPr>
        <w:spacing w:after="160"/>
      </w:pPr>
      <w:r>
        <w:rPr>
          <w:b w:val="0"/>
          <w:i/>
        </w:rPr>
        <w:t>Adversarially Invariant Fairness Statistics: Why Aggregate Retrieval-Fairness Metrics Cannot Detect Pairwise Poisoning</w:t>
      </w:r>
    </w:p>
    <w:p>
      <w:pPr>
        <w:spacing w:after="160"/>
      </w:pPr>
      <w:r>
        <w:rPr>
          <w:b w:val="0"/>
          <w:i w:val="0"/>
        </w:rPr>
        <w:t>Lu Jiang, Nanjing University of Science and Technology</w:t>
      </w:r>
    </w:p>
    <w:p>
      <w:pPr>
        <w:spacing w:after="160"/>
      </w:pPr>
      <w:r>
        <w:rPr>
          <w:b w:val="0"/>
          <w:i w:val="0"/>
        </w:rPr>
      </w:r>
    </w:p>
    <w:p>
      <w:pPr>
        <w:pStyle w:val="ListBullet"/>
        <w:spacing w:after="120"/>
      </w:pPr>
      <w:r>
        <w:t>Aggregate fairness statistics are adversarially invariant by structure</w:t>
      </w:r>
    </w:p>
    <w:p>
      <w:pPr>
        <w:pStyle w:val="ListBullet"/>
        <w:spacing w:after="120"/>
      </w:pPr>
      <w:r>
        <w:t>Three predictable modes defeat composition, reference and difference metrics</w:t>
      </w:r>
    </w:p>
    <w:p>
      <w:pPr>
        <w:pStyle w:val="ListBullet"/>
        <w:spacing w:after="120"/>
      </w:pPr>
      <w:r>
        <w:t>Per-group shifts move 0.13 where the cross-group gap moves under 0.002</w:t>
      </w:r>
    </w:p>
    <w:p>
      <w:pPr>
        <w:pStyle w:val="ListBullet"/>
        <w:spacing w:after="120"/>
      </w:pPr>
      <w:r>
        <w:t>Static defense advantage is largest on the encoders the field uses</w:t>
      </w:r>
    </w:p>
    <w:p>
      <w:pPr>
        <w:pStyle w:val="ListBullet"/>
        <w:spacing w:after="120"/>
      </w:pPr>
      <w:r>
        <w:t>A six-point protocol makes retrieval robustness claims interpretable</w:t>
      </w:r>
    </w:p>
    <w:p>
      <w:pPr>
        <w:spacing w:after="160"/>
      </w:pPr>
      <w:r>
        <w:rPr>
          <w:b w:val="0"/>
          <w:i w:val="0"/>
        </w:rPr>
      </w:r>
    </w:p>
    <w:p>
      <w:pPr>
        <w:spacing w:after="160"/>
      </w:pPr>
      <w:r>
        <w:rPr>
          <w:b w:val="0"/>
          <w:i/>
          <w:sz w:val="18"/>
        </w:rPr>
        <w:t>Character counts: 70, 76, 70, 66, 68 (limit 85 each)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