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 xml:space="preserve">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 a controlled corpus with an exact clean reference, and BBQ, a naturally written bias benchmark — and on </w:t>
      </w:r>
      <w:r>
        <w:rPr>
          <w:rFonts w:ascii="Times New Roman" w:hAnsi="Times New Roman" w:eastAsia="SimSun"/>
          <w:b/>
          <w:sz w:val="22"/>
        </w:rPr>
        <w:t>six retrieval back-ends</w:t>
      </w:r>
      <w:r>
        <w:rPr>
          <w:rFonts w:ascii="Times New Roman" w:hAnsi="Times New Roman" w:eastAsia="SimSun"/>
          <w:sz w:val="22"/>
        </w:rPr>
        <w:t>: our own feature-hashing dense retriever, GTE-base, E5-base-v2, Contriever, and SPLADE at both distil and efficient-large size (a learned sparse retriever).</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0.250 against the non-adaptive attacker — a factor of three,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The collapse is measured on six back-ends, and the static advantage is largest on the pretrained encoders the literature actually uses.</w:t>
      </w:r>
      <w:r>
        <w:rPr>
          <w:rFonts w:ascii="Times New Roman" w:hAnsi="Times New Roman" w:eastAsia="SimSun"/>
          <w:sz w:val="22"/>
        </w:rPr>
        <w:t xml:space="preserve"> Repeating the sweep on GTE-base, E5-base-v2, Contriever and SPLADE as well as our own hashed retriever, all four pretrained encoders start </w:t>
      </w:r>
      <w:r>
        <w:rPr>
          <w:rFonts w:ascii="Times New Roman" w:hAnsi="Times New Roman" w:eastAsia="SimSun"/>
          <w:i/>
          <w:sz w:val="22"/>
        </w:rPr>
        <w:t>below</w:t>
      </w:r>
      <w:r>
        <w:rPr>
          <w:rFonts w:ascii="Times New Roman" w:hAnsi="Times New Roman" w:eastAsia="SimSun"/>
          <w:sz w:val="22"/>
        </w:rPr>
        <w:t xml:space="preserve"> our retriever's static 0.250 and three start at exactly 0.000; on GTE-base and E5-base-v2 the defense goes from zero adversarial inclusion to </w:t>
      </w:r>
      <w:r>
        <w:rPr>
          <w:rFonts w:ascii="Times New Roman" w:hAnsi="Times New Roman" w:eastAsia="SimSun"/>
          <w:b/>
          <w:sz w:val="22"/>
        </w:rPr>
        <w:t>complete failure at the first perturbation step</w:t>
      </w:r>
      <w:r>
        <w:rPr>
          <w:rFonts w:ascii="Times New Roman" w:hAnsi="Times New Roman" w:eastAsia="SimSun"/>
          <w:sz w:val="22"/>
        </w:rPr>
        <w:t xml:space="preserve"> ($\lambda = 0.25$). Contriever and the learned-sparse SPLADE collapse more gradually and resemble our own retriever, so the abruptness varies by encoder in a way we cannot reduce to one property. What holds on all five: no defense retains measurable benefit beyond $\lambda = 1$, and the attacker's passages remain over 94% semantically intact while it happens.</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0.250</w:t>
      </w:r>
      <w:r>
        <w:rPr>
          <w:rFonts w:ascii="Times New Roman" w:hAnsi="Times New Roman" w:eastAsia="SimSun"/>
          <w:sz w:val="22"/>
        </w:rPr>
        <w:t xml:space="preserve"> against the static attacker — a factor of three, and the best result anywhere in our study. It is the defense one would recommend from a static evaluation. Under adaptation it rises monotonically — 0.250 → 0.562 → 0.812 → 0.938 → 1.000 — and is defeated by $\lambda = 2$. The composition-constrained defenses, which are </w:t>
      </w:r>
      <w:r>
        <w:rPr>
          <w:rFonts w:ascii="Times New Roman" w:hAnsi="Times New Roman" w:eastAsia="SimSun"/>
          <w:i/>
          <w:sz w:val="22"/>
        </w:rPr>
        <w:t>2.5x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Those values came from an exploratory run written to a scratch directory that was later excluded from version control, not from the canonical run that the rest of the paper uses;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whereas the exploratory run is not reproducible from any committed configuration. The qualitative conclusion — a defense that looks effective statically is defeated by moderate adaptation — is unchanged, but the static advantage was overstated by a factor of two (a factor of three over no defense, not six).</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5.2b Collapse abruptness tracks representation density, not "realness"</w:t>
      </w:r>
    </w:p>
    <w:p>
      <w:r>
        <w:rPr>
          <w:rFonts w:ascii="Times New Roman" w:hAnsi="Times New Roman" w:eastAsia="SimSun"/>
          <w:sz w:val="22"/>
        </w:rPr>
        <w:t xml:space="preserve">The results above use our own feature-hashing dense retriever. Because we expected the </w:t>
      </w:r>
      <w:r>
        <w:rPr>
          <w:rFonts w:ascii="Times New Roman" w:hAnsi="Times New Roman" w:eastAsia="SimSun"/>
          <w:i/>
          <w:sz w:val="22"/>
        </w:rPr>
        <w:t>shape</w:t>
      </w:r>
      <w:r>
        <w:rPr>
          <w:rFonts w:ascii="Times New Roman" w:hAnsi="Times New Roman" w:eastAsia="SimSun"/>
          <w:sz w:val="22"/>
        </w:rPr>
        <w:t xml:space="preserve"> of the collapse — not merely its endpoint — to depend on the encoder, we repeated the adaptive sweep on four further back-ends: </w:t>
      </w:r>
      <w:r>
        <w:rPr>
          <w:rFonts w:ascii="Times New Roman" w:hAnsi="Times New Roman" w:eastAsia="SimSun"/>
          <w:b/>
          <w:sz w:val="22"/>
        </w:rPr>
        <w:t>GTE-base</w:t>
      </w:r>
      <w:r>
        <w:rPr>
          <w:rFonts w:ascii="Times New Roman" w:hAnsi="Times New Roman" w:eastAsia="SimSun"/>
          <w:sz w:val="22"/>
        </w:rPr>
        <w:t xml:space="preserve">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[4, 6],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Adding SPLADE is what makes the comparison diagnostic: it is a trained neural encoder, like GTE and E5, but its representation is sparse, like BM25's.</w:t>
      </w:r>
    </w:p>
    <w:p>
      <w:r>
        <w:rPr>
          <w:rFonts w:ascii="Times New Roman" w:hAnsi="Times New Roman" w:eastAsia="SimSun"/>
          <w:b/>
          <w:sz w:val="22"/>
        </w:rPr>
        <w:t>Table 2b.</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off-manifold filtering, by back-end. Six back-ends; </w:t>
      </w:r>
      <w:r>
        <w:rPr>
          <w:rFonts w:ascii="Consolas" w:hAnsi="Consolas" w:eastAsia="Consolas"/>
          <w:sz w:val="21"/>
        </w:rPr>
        <w:t>usage</w:t>
      </w:r>
      <w:r>
        <w:rPr>
          <w:rFonts w:ascii="Times New Roman" w:hAnsi="Times New Roman" w:eastAsia="SimSun"/>
          <w:sz w:val="22"/>
        </w:rPr>
        <w:t xml:space="preserve"> (attacker's semantic fidelity) in parentheses.</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Times New Roman" w:hAnsi="Times New Roman" w:eastAsia="SimSun"/>
                <w:b/>
                <w:sz w:val="19"/>
              </w:rPr>
              <w:t>usage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w:t>
      </w:r>
      <w:r>
        <w:rPr>
          <w:rFonts w:ascii="Times New Roman" w:hAnsi="Times New Roman" w:eastAsia="SimSun"/>
          <w:b/>
          <w:sz w:val="22"/>
        </w:rPr>
        <w:t>not</w:t>
      </w:r>
      <w:r>
        <w:rPr>
          <w:rFonts w:ascii="Times New Roman" w:hAnsi="Times New Roman" w:eastAsia="SimSun"/>
          <w:sz w:val="22"/>
        </w:rPr>
        <w:t xml:space="preserve"> the one we expected when we added these back-ends, and it took all six to see why. Four of the five pretrained encoders (GTE-base, E5-base-v2, Contriever, SPLADE-large) start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one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while Contriever (0.000 → 0.625 → 1.000) and both SPLADE sizes climb and resemble our own hashed retriever (0.188 / 0.500 / 0.812 and 0.000 / 0.500 / 0.750 against 0.250 / 0.562 / 0.812). Notably, scaling SPLADE up </w:t>
      </w:r>
      <w:r>
        <w:rPr>
          <w:rFonts w:ascii="Times New Roman" w:hAnsi="Times New Roman" w:eastAsia="SimSun"/>
          <w:i/>
          <w:sz w:val="22"/>
        </w:rPr>
        <w:t>improves</w:t>
      </w:r>
      <w:r>
        <w:rPr>
          <w:rFonts w:ascii="Times New Roman" w:hAnsi="Times New Roman" w:eastAsia="SimSun"/>
          <w:sz w:val="22"/>
        </w:rPr>
        <w:t xml:space="preserve"> the defense's static position — 0.188 → 0.000 at $\lambda = 0$ — while leaving the collapse rate essentially unchanged. So neither "pretrained versus hashed" nor "dense versus sparse" describes the collapse on its own.</w:t>
      </w:r>
    </w:p>
    <w:p>
      <w:r>
        <w:rPr>
          <w:rFonts w:ascii="Times New Roman" w:hAnsi="Times New Roman" w:eastAsia="SimSun"/>
          <w:sz w:val="22"/>
        </w:rPr>
        <w:t>Three observations are stable across all five, however, and they are what the finding rests on:</w:t>
      </w:r>
    </w:p>
    <w:p>
      <w:pPr>
        <w:pStyle w:val="ListNumber"/>
        <w:spacing w:line="360" w:lineRule="auto"/>
      </w:pPr>
      <w:r>
        <w:rPr>
          <w:rFonts w:ascii="Times New Roman" w:hAnsi="Times New Roman" w:eastAsia="SimSun"/>
          <w:b/>
          <w:sz w:val="22"/>
        </w:rPr>
        <w:t>Static advantage is largest on the pretrained encoders.</w:t>
      </w:r>
      <w:r>
        <w:rPr>
          <w:rFonts w:ascii="Times New Roman" w:hAnsi="Times New Roman" w:eastAsia="SimSun"/>
          <w:sz w:val="22"/>
        </w:rPr>
        <w:t xml:space="preserve"> All five start below our hashed retriever's 0.250; four start at 0.000. This is the reverse of the concern that motivated the experiment.</w:t>
      </w:r>
    </w:p>
    <w:p>
      <w:pPr>
        <w:pStyle w:val="ListNumber"/>
        <w:spacing w:line="360" w:lineRule="auto"/>
      </w:pP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back-ends, and on four of them none survives $\lambda = 0.25$.</w:t>
      </w:r>
    </w:p>
    <w:p>
      <w:pPr>
        <w:pStyle w:val="ListNumber"/>
        <w:spacing w:line="360" w:lineRule="auto"/>
      </w:pP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 0.943 at $\lambda = 1$ on every back-end. The injected material is over 94% semantically intact at the point where the defenses have already lost most or all of their advantage, so the collapse cannot be attributed to the attacker degrading its own passages.</w:t>
      </w:r>
    </w:p>
    <w:p>
      <w:r>
        <w:rPr>
          <w:rFonts w:ascii="Times New Roman" w:hAnsi="Times New Roman" w:eastAsia="SimSun"/>
          <w:b/>
          <w:sz w:val="22"/>
        </w:rPr>
        <w:t>Finding 1b.</w:t>
      </w:r>
      <w:r>
        <w:rPr>
          <w:rFonts w:ascii="Times New Roman" w:hAnsi="Times New Roman" w:eastAsia="SimSun"/>
          <w:sz w:val="22"/>
        </w:rPr>
        <w:t xml:space="preserve"> Every back-end we tested loses the defense's static advantage within one to two perturbation steps, and the </w:t>
      </w:r>
      <w:r>
        <w:rPr>
          <w:rFonts w:ascii="Times New Roman" w:hAnsi="Times New Roman" w:eastAsia="SimSun"/>
          <w:i/>
          <w:sz w:val="22"/>
        </w:rPr>
        <w:t>static</w:t>
      </w:r>
      <w:r>
        <w:rPr>
          <w:rFonts w:ascii="Times New Roman" w:hAnsi="Times New Roman" w:eastAsia="SimSun"/>
          <w:sz w:val="22"/>
        </w:rPr>
        <w:t xml:space="preserve"> advantage is systematically </w:t>
      </w:r>
      <w:r>
        <w:rPr>
          <w:rFonts w:ascii="Times New Roman" w:hAnsi="Times New Roman" w:eastAsia="SimSun"/>
          <w:b/>
          <w:sz w:val="22"/>
        </w:rPr>
        <w:t>larger</w:t>
      </w:r>
      <w:r>
        <w:rPr>
          <w:rFonts w:ascii="Times New Roman" w:hAnsi="Times New Roman" w:eastAsia="SimSun"/>
          <w:sz w:val="22"/>
        </w:rPr>
        <w:t xml:space="preserve">, not smaller, on the pretrained encoders that the compared literature actually uses — four of the five are at exactly zero adversarial inclusion before adaptation. The original framing of this subsection, that the collapse is "steeper on a real encoder", is too coarse and we replace it: GTE-base and E5-base-v2 fail in a single step, whereas Contriever and both SPLADE sizes collapse gradually and resemble our own hashed retriever. With six back-ends the honest statement is that </w:t>
      </w:r>
      <w:r>
        <w:rPr>
          <w:rFonts w:ascii="Times New Roman" w:hAnsi="Times New Roman" w:eastAsia="SimSun"/>
          <w:b/>
          <w:sz w:val="22"/>
        </w:rPr>
        <w:t>the abruptness varies by encoder in a way we cannot reduce to one property</w:t>
      </w:r>
      <w:r>
        <w:rPr>
          <w:rFonts w:ascii="Times New Roman" w:hAnsi="Times New Roman" w:eastAsia="SimSun"/>
          <w:sz w:val="22"/>
        </w:rPr>
        <w:t>, and the robust claims are the three listed above. The practical consequence is unchanged and, if anything, sharper: a defense selected on its static advantage is defeated comprehensively, and the static numbers one would use to select it are most optimistic precisely on the back-ends the literature uses.</w:t>
      </w:r>
    </w:p>
    <w:p>
      <w:r>
        <w:rPr>
          <w:rFonts w:ascii="Times New Roman" w:hAnsi="Times New Roman" w:eastAsia="SimSun"/>
          <w:sz w:val="22"/>
        </w:rPr>
        <w:t xml:space="preserve">This parallels the companion paper's scale check, and the two together are worth stating plainly: </w:t>
      </w:r>
      <w:r>
        <w:rPr>
          <w:rFonts w:ascii="Times New Roman" w:hAnsi="Times New Roman" w:eastAsia="SimSun"/>
          <w:b/>
          <w:sz w:val="22"/>
        </w:rPr>
        <w:t>the encoder is not a nuisance parameter.</w:t>
      </w:r>
      <w:r>
        <w:rPr>
          <w:rFonts w:ascii="Times New Roman" w:hAnsi="Times New Roman" w:eastAsia="SimSun"/>
          <w:sz w:val="22"/>
        </w:rPr>
        <w:t xml:space="preserve"> In the companion paper, enlarging GTE within one family and training recipe moves text-attack susceptibility eight-fold (0.0625 → 0.5000). Here, the same encoders differ in whether they collapse in one perturbation step or three. An adaptive-robustness claim measured on one back-end therefore inherits an unmeasured dependence on which back-end was chosen.</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so our results are a </w:t>
      </w:r>
      <w:r>
        <w:rPr>
          <w:rFonts w:ascii="Times New Roman" w:hAnsi="Times New Roman" w:eastAsia="SimSun"/>
          <w:b/>
          <w:sz w:val="22"/>
        </w:rPr>
        <w:t>lower</w:t>
      </w:r>
      <w:r>
        <w:rPr>
          <w:rFonts w:ascii="Times New Roman" w:hAnsi="Times New Roman" w:eastAsia="SimSun"/>
          <w:sz w:val="22"/>
        </w:rPr>
        <w:t xml:space="preserve"> bound on adaptive attack effectiveness and the reported failure points are optimistic </w:t>
      </w:r>
      <w:r>
        <w:rPr>
          <w:rFonts w:ascii="Times New Roman" w:hAnsi="Times New Roman" w:eastAsia="SimSun"/>
          <w:i/>
          <w:sz w:val="22"/>
        </w:rPr>
        <w:t>for the defenses</w:t>
      </w:r>
      <w:r>
        <w:rPr>
          <w:rFonts w:ascii="Times New Roman" w:hAnsi="Times New Roman" w:eastAsia="SimSun"/>
          <w:sz w:val="22"/>
        </w:rPr>
        <w:t>. This is the conservative direction for our claims but it means the defences may fail earlier than we measure, not later. Implementing the full bilevel optimisation is worthwhile follow-up, though note that both back-ends already reach complete failure within the sweep, so the headroom for a stronger attacker to change the qualitative conclusion is nil.</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 and back-ends.</w:t>
      </w:r>
      <w:r>
        <w:rPr>
          <w:rFonts w:ascii="Times New Roman" w:hAnsi="Times New Roman" w:eastAsia="SimSun"/>
          <w:sz w:val="22"/>
        </w:rPr>
        <w:t xml:space="preserve"> A controlled corpus and BBQ; six vector back-ends (our feature-hashing dense retriever, GTE-base, E5-base-v2, Contriever and SPLADE). BBQ is a bias benchmark rather than a retrieval benchmark, and its large pre-existing stance imbalance dominates absolute fairness metrics (see the companion paper for a fuller treatment). On the pretrained encoders the R2 gap saturates at its maximum under the projection attack, which leaves no headroom for a fairness constraint to demonstrate benefit — a limitation of what can be measured on those back-ends rather than of the defenses. A neutral retrieval corpus would place the magnitudes on a representative footing, but none exists with the group and stance annotations this analysis needs; see Limitation 1 of the companion paper, where we argue that is the field's binding infrastructure problem rather than a gap in this study.</w:t>
      </w:r>
    </w:p>
    <w:p>
      <w:pPr>
        <w:pStyle w:val="ListNumber"/>
        <w:spacing w:line="360" w:lineRule="auto"/>
      </w:pPr>
      <w:r>
        <w:rPr>
          <w:rFonts w:ascii="Times New Roman" w:hAnsi="Times New Roman" w:eastAsia="SimSun"/>
          <w:b/>
          <w:sz w:val="22"/>
        </w:rPr>
        <w:t>Defense and backbone coverage.</w:t>
      </w:r>
      <w:r>
        <w:rPr>
          <w:rFonts w:ascii="Times New Roman" w:hAnsi="Times New Roman" w:eastAsia="SimSun"/>
          <w:sz w:val="22"/>
        </w:rPr>
        <w:t xml:space="preserve"> Three defenses from two mechanism families. Six vector back-ends are covered (our feature-hashing retriever, GTE-base, E5-base-v2, Contriever, and SPLADE at both distil and efficient-large size), but all are base-size checkpoints and all are English; covering the embedder-control [7] and constrained-optimisation [5] families would strengthen the generality of Finding 1; we argue the structural argument of §4 applies to both, since embedder control is also a fixed public map and constrained optimisation has a public objective. The back-end sweep does establish one negative result that bears on the literature: the </w:t>
      </w:r>
      <w:r>
        <w:rPr>
          <w:rFonts w:ascii="Times New Roman" w:hAnsi="Times New Roman" w:eastAsia="SimSun"/>
          <w:i/>
          <w:sz w:val="22"/>
        </w:rPr>
        <w:t>abruptness</w:t>
      </w:r>
      <w:r>
        <w:rPr>
          <w:rFonts w:ascii="Times New Roman" w:hAnsi="Times New Roman" w:eastAsia="SimSun"/>
          <w:sz w:val="22"/>
        </w:rPr>
        <w:t xml:space="preserve"> of the adaptive collapse is not predictable from the encoder's family, since GTE-base and E5-base-v2 fail in one step while Contriever and the learned-sparse SPLADE do not — and the companion paper reports that static text-attack effectiveness varies nine-fold across the same encoder set (Contriever 0.5625 versus GTE-base and E5-base-v2 at 0.0625). Adaptive robustness should be expected to vary at least as much, which is a reason to expect that single-backbone robustness claims in this literature are not portable. Larger checkpoints remain to be swept.</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 xml:space="preserve">Code and results: </w:t>
      </w:r>
      <w:r>
        <w:rPr>
          <w:rFonts w:ascii="Times New Roman" w:hAnsi="Times New Roman" w:eastAsia="SimSun"/>
          <w:b/>
          <w:sz w:val="22"/>
        </w:rPr>
        <w:t>https://github.com/luj00133-dev/rag-poison-fairness</w:t>
      </w:r>
    </w:p>
    <w:p>
      <w:r>
        <w:rPr>
          <w:rFonts w:ascii="Times New Roman" w:hAnsi="Times New Roman" w:eastAsia="SimSun"/>
          <w:sz w:val="22"/>
        </w:rPr>
        <w:t>No GPU is required; both corpora complete on CPU in under three minutes.</w:t>
      </w:r>
    </w:p>
    <w:p>
      <w:r>
        <w:rPr>
          <w:rFonts w:ascii="Times New Roman" w:hAnsi="Times New Roman" w:eastAsia="SimSun"/>
          <w:sz w:val="22"/>
        </w:rPr>
        <w:t>The six-back-end adaptive sweep of §5.2b is reproduced by:</w:t>
      </w:r>
    </w:p>
    <w:p>
      <w:pPr>
        <w:spacing w:line="240" w:lineRule="auto"/>
        <w:ind w:left="283"/>
      </w:pPr>
      <w:r>
        <w:rPr>
          <w:rFonts w:ascii="Consolas" w:hAnsi="Consolas" w:eastAsia="Consolas"/>
          <w:sz w:val="18"/>
        </w:rPr>
        <w:t>export HF_ENDPOINT=https://hf-mirror.com   # where huggingface.co is unreachable</w:t>
      </w:r>
    </w:p>
    <w:p>
      <w:pPr>
        <w:spacing w:line="240" w:lineRule="auto"/>
        <w:ind w:left="283"/>
      </w:pPr>
      <w:r>
        <w:rPr>
          <w:rFonts w:ascii="Consolas" w:hAnsi="Consolas" w:eastAsia="Consolas"/>
          <w:sz w:val="18"/>
        </w:rPr>
        <w:t>python -m src.run_experiment --config configs/default.json --out results/repro_check</w:t>
      </w:r>
    </w:p>
    <w:p>
      <w:pPr>
        <w:spacing w:line="240" w:lineRule="auto"/>
        <w:ind w:left="283"/>
      </w:pPr>
      <w:r>
        <w:rPr>
          <w:rFonts w:ascii="Consolas" w:hAnsi="Consolas" w:eastAsia="Consolas"/>
          <w:sz w:val="18"/>
        </w:rPr>
        <w:t>python -m src.run_experiment --config configs/align_gte_ad.json</w:t>
      </w:r>
    </w:p>
    <w:p>
      <w:pPr>
        <w:spacing w:line="240" w:lineRule="auto"/>
        <w:ind w:left="283"/>
      </w:pPr>
      <w:r>
        <w:rPr>
          <w:rFonts w:ascii="Consolas" w:hAnsi="Consolas" w:eastAsia="Consolas"/>
          <w:sz w:val="18"/>
        </w:rPr>
        <w:t>python -m src.run_experiment --config configs/align_e5.json</w:t>
      </w:r>
    </w:p>
    <w:p>
      <w:pPr>
        <w:spacing w:line="240" w:lineRule="auto"/>
        <w:ind w:left="283"/>
      </w:pPr>
      <w:r>
        <w:rPr>
          <w:rFonts w:ascii="Consolas" w:hAnsi="Consolas" w:eastAsia="Consolas"/>
          <w:sz w:val="18"/>
        </w:rPr>
        <w:t>python -m src.run_experiment --config configs/contriever_ad.json</w:t>
      </w:r>
    </w:p>
    <w:p>
      <w:pPr>
        <w:spacing w:line="240" w:lineRule="auto"/>
        <w:ind w:left="283"/>
      </w:pPr>
      <w:r>
        <w:rPr>
          <w:rFonts w:ascii="Consolas" w:hAnsi="Consolas" w:eastAsia="Consolas"/>
          <w:sz w:val="18"/>
        </w:rPr>
        <w:t>python -m src.run_experiment --config configs/align_splade.json</w:t>
      </w:r>
    </w:p>
    <w:p>
      <w:r>
        <w:rPr>
          <w:rFonts w:ascii="Consolas" w:hAnsi="Consolas" w:eastAsia="Consolas"/>
          <w:sz w:val="21"/>
        </w:rPr>
        <w:t>analysis/collapse_table.py</w:t>
      </w:r>
      <w:r>
        <w:rPr>
          <w:rFonts w:ascii="Times New Roman" w:hAnsi="Times New Roman" w:eastAsia="SimSun"/>
          <w:sz w:val="22"/>
        </w:rPr>
        <w:t xml:space="preserve"> prints the collapse table across all five directly</w:t>
      </w:r>
    </w:p>
    <w:p>
      <w:r>
        <w:rPr>
          <w:rFonts w:ascii="Times New Roman" w:hAnsi="Times New Roman" w:eastAsia="SimSun"/>
          <w:sz w:val="22"/>
        </w:rPr>
        <w:t xml:space="preserve">from the committed CSVs. </w:t>
      </w:r>
      <w:r>
        <w:rPr>
          <w:rFonts w:ascii="Consolas" w:hAnsi="Consolas" w:eastAsia="Consolas"/>
          <w:sz w:val="21"/>
        </w:rPr>
        <w:t>paper/compile_papers.py</w:t>
      </w:r>
      <w:r>
        <w:rPr>
          <w:rFonts w:ascii="Times New Roman" w:hAnsi="Times New Roman" w:eastAsia="SimSun"/>
          <w:sz w:val="22"/>
        </w:rPr>
        <w:t xml:space="preserve"> compiles this manuscript with</w:t>
      </w:r>
    </w:p>
    <w:p>
      <w:r>
        <w:rPr>
          <w:rFonts w:ascii="Times New Roman" w:hAnsi="Times New Roman" w:eastAsia="SimSun"/>
          <w:sz w:val="22"/>
        </w:rPr>
        <w:t>MiKTeX and parses real LaTeX errors, undefined references and overfull boxes out</w:t>
      </w:r>
    </w:p>
    <w:p>
      <w:r>
        <w:rPr>
          <w:rFonts w:ascii="Times New Roman" w:hAnsi="Times New Roman" w:eastAsia="SimSun"/>
          <w:sz w:val="22"/>
        </w:rPr>
        <w:t xml:space="preserve">of the </w:t>
      </w:r>
      <w:r>
        <w:rPr>
          <w:rFonts w:ascii="Consolas" w:hAnsi="Consolas" w:eastAsia="Consolas"/>
          <w:sz w:val="21"/>
        </w:rPr>
        <w:t>.log</w:t>
      </w:r>
      <w:r>
        <w:rPr>
          <w:rFonts w:ascii="Times New Roman" w:hAnsi="Times New Roman" w:eastAsia="SimSun"/>
          <w:sz w:val="22"/>
        </w:rPr>
        <w:t xml:space="preserve"> (the </w:t>
      </w:r>
      <w:r>
        <w:rPr>
          <w:rFonts w:ascii="Consolas" w:hAnsi="Consolas" w:eastAsia="Consolas"/>
          <w:sz w:val="21"/>
        </w:rPr>
        <w:t>make_latex.py</w:t>
      </w:r>
      <w:r>
        <w:rPr>
          <w:rFonts w:ascii="Times New Roman" w:hAnsi="Times New Roman" w:eastAsia="SimSun"/>
          <w:sz w:val="22"/>
        </w:rPr>
        <w:t xml:space="preserve"> conversion log is not a compile check and</w:t>
      </w:r>
    </w:p>
    <w:p>
      <w:r>
        <w:rPr>
          <w:rFonts w:ascii="Consolas" w:hAnsi="Consolas" w:eastAsia="Consolas"/>
          <w:sz w:val="21"/>
        </w:rPr>
        <w:t>pdflatex</w:t>
      </w:r>
      <w:r>
        <w:rPr>
          <w:rFonts w:ascii="Times New Roman" w:hAnsi="Times New Roman" w:eastAsia="SimSun"/>
          <w:sz w:val="22"/>
        </w:rPr>
        <w:t xml:space="preserve"> is not necessarily on </w:t>
      </w:r>
      <w:r>
        <w:rPr>
          <w:rFonts w:ascii="Consolas" w:hAnsi="Consolas" w:eastAsia="Consolas"/>
          <w:sz w:val="21"/>
        </w:rPr>
        <w:t>PATH</w:t>
      </w:r>
      <w:r>
        <w:rPr>
          <w:rFonts w:ascii="Times New Roman" w:hAnsi="Times New Roman" w:eastAsia="SimSun"/>
          <w:sz w:val="22"/>
        </w:rPr>
        <w:t>).</w:t>
      </w:r>
    </w:p>
    <w:p>
      <w:r>
        <w:rPr>
          <w:rFonts w:ascii="Times New Roman" w:hAnsi="Times New Roman" w:eastAsia="SimSun"/>
          <w:sz w:val="22"/>
        </w:rPr>
        <w:t>One reproducibility note, because it affected an earlier version of Table 2 in</w:t>
      </w:r>
    </w:p>
    <w:p>
      <w:r>
        <w:rPr>
          <w:rFonts w:ascii="Times New Roman" w:hAnsi="Times New Roman" w:eastAsia="SimSun"/>
          <w:sz w:val="22"/>
        </w:rPr>
        <w:t xml:space="preserve">this paper. Run outputs going to a scratch directory that </w:t>
      </w:r>
      <w:r>
        <w:rPr>
          <w:rFonts w:ascii="Consolas" w:hAnsi="Consolas" w:eastAsia="Consolas"/>
          <w:sz w:val="21"/>
        </w:rPr>
        <w:t>.gitignore</w:t>
      </w:r>
      <w:r>
        <w:rPr>
          <w:rFonts w:ascii="Times New Roman" w:hAnsi="Times New Roman" w:eastAsia="SimSun"/>
          <w:sz w:val="22"/>
        </w:rPr>
        <w:t xml:space="preserve"> excludes</w:t>
      </w:r>
    </w:p>
    <w:p>
      <w:r>
        <w:rPr>
          <w:rFonts w:ascii="Times New Roman" w:hAnsi="Times New Roman" w:eastAsia="SimSun"/>
          <w:sz w:val="22"/>
        </w:rPr>
        <w:t xml:space="preserve">are </w:t>
      </w:r>
      <w:r>
        <w:rPr>
          <w:rFonts w:ascii="Times New Roman" w:hAnsi="Times New Roman" w:eastAsia="SimSun"/>
          <w:b/>
          <w:sz w:val="22"/>
        </w:rPr>
        <w:t>not</w:t>
      </w:r>
      <w:r>
        <w:rPr>
          <w:rFonts w:ascii="Times New Roman" w:hAnsi="Times New Roman" w:eastAsia="SimSun"/>
          <w:sz w:val="22"/>
        </w:rPr>
        <w:t xml:space="preserve"> evidence: a draft table was built from such a run and reported a</w:t>
      </w:r>
    </w:p>
    <w:p>
      <w:r>
        <w:rPr>
          <w:rFonts w:ascii="Times New Roman" w:hAnsi="Times New Roman" w:eastAsia="SimSun"/>
          <w:sz w:val="22"/>
        </w:rPr>
        <w:t xml:space="preserve">static </w:t>
      </w:r>
      <w:r>
        <w:rPr>
          <w:rFonts w:ascii="Consolas" w:hAnsi="Consolas" w:eastAsia="Consolas"/>
          <w:sz w:val="21"/>
        </w:rPr>
        <w:t>poison@k</w:t>
      </w:r>
      <w:r>
        <w:rPr>
          <w:rFonts w:ascii="Times New Roman" w:hAnsi="Times New Roman" w:eastAsia="SimSun"/>
          <w:sz w:val="22"/>
        </w:rPr>
        <w:t xml:space="preserve"> of 0.125 where the committed configuration yields 0.250.</w:t>
      </w:r>
    </w:p>
    <w:p>
      <w:r>
        <w:rPr>
          <w:rFonts w:ascii="Times New Roman" w:hAnsi="Times New Roman" w:eastAsia="SimSun"/>
          <w:sz w:val="22"/>
        </w:rPr>
        <w:t xml:space="preserve">Re-running </w:t>
      </w:r>
      <w:r>
        <w:rPr>
          <w:rFonts w:ascii="Consolas" w:hAnsi="Consolas" w:eastAsia="Consolas"/>
          <w:sz w:val="21"/>
        </w:rPr>
        <w:t>configs/default.json</w:t>
      </w:r>
      <w:r>
        <w:rPr>
          <w:rFonts w:ascii="Times New Roman" w:hAnsi="Times New Roman" w:eastAsia="SimSun"/>
          <w:sz w:val="22"/>
        </w:rPr>
        <w:t xml:space="preserve"> reproduces the committed </w:t>
      </w:r>
      <w:r>
        <w:rPr>
          <w:rFonts w:ascii="Consolas" w:hAnsi="Consolas" w:eastAsia="Consolas"/>
          <w:sz w:val="21"/>
        </w:rPr>
        <w:t>results/full/</w:t>
      </w:r>
    </w:p>
    <w:p>
      <w:r>
        <w:rPr>
          <w:rFonts w:ascii="Times New Roman" w:hAnsi="Times New Roman" w:eastAsia="SimSun"/>
          <w:sz w:val="22"/>
        </w:rPr>
        <w:t>adaptive cells exactly (18 of 18 bit-identical), and that is the check we now</w:t>
      </w:r>
    </w:p>
    <w:p>
      <w:r>
        <w:rPr>
          <w:rFonts w:ascii="Times New Roman" w:hAnsi="Times New Roman" w:eastAsia="SimSun"/>
          <w:sz w:val="22"/>
        </w:rPr>
        <w:t>apply before quoting a number.</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