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Lu Jiang</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Lu Jiang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Information Processing &amp; Management</w:t>
      </w:r>
      <w:r>
        <w:rPr>
          <w:rFonts w:ascii="Times New Roman" w:hAnsi="Times New Roman" w:eastAsia="SimSun"/>
          <w:sz w:val="22"/>
        </w:rPr>
        <w:t xml:space="preserve"> (CAS Q1 Top, IF 8.1) — alternative: </w:t>
      </w:r>
      <w:r>
        <w:rPr>
          <w:rFonts w:ascii="Times New Roman" w:hAnsi="Times New Roman" w:eastAsia="SimSun"/>
          <w:i/>
          <w:sz w:val="22"/>
        </w:rPr>
        <w:t>Information Sciences</w:t>
      </w:r>
    </w:p>
    <w:p>
      <w:r>
        <w:rPr>
          <w:rFonts w:ascii="Times New Roman" w:hAnsi="Times New Roman" w:eastAsia="SimSun"/>
          <w:sz w:val="22"/>
        </w:rPr>
        <w:t>&lt;!-- SUBMISSION ARTIFACT — entered in the journal submission system, not typeset into the manuscript.</w:t>
      </w:r>
    </w:p>
    <w:p>
      <w:r>
        <w:rPr>
          <w:rFonts w:ascii="Times New Roman" w:hAnsi="Times New Roman" w:eastAsia="SimSun"/>
          <w:sz w:val="22"/>
        </w:rPr>
        <w:t>Highlights (3-5 items, each &lt;= 85 characters):</w:t>
      </w:r>
    </w:p>
    <w:p>
      <w:pPr>
        <w:pStyle w:val="ListBullet"/>
        <w:spacing w:line="360" w:lineRule="auto"/>
      </w:pPr>
      <w:r>
        <w:rPr>
          <w:rFonts w:ascii="Times New Roman" w:hAnsi="Times New Roman" w:eastAsia="SimSun"/>
          <w:sz w:val="22"/>
        </w:rPr>
        <w:t>Aggregate fairness statistics are adversarially invariant by structure</w:t>
      </w:r>
    </w:p>
    <w:p>
      <w:pPr>
        <w:pStyle w:val="ListBullet"/>
        <w:spacing w:line="360" w:lineRule="auto"/>
      </w:pPr>
      <w:r>
        <w:rPr>
          <w:rFonts w:ascii="Times New Roman" w:hAnsi="Times New Roman" w:eastAsia="SimSun"/>
          <w:sz w:val="22"/>
        </w:rPr>
        <w:t>Three predictable modes defeat composition, reference and difference metrics</w:t>
      </w:r>
    </w:p>
    <w:p>
      <w:pPr>
        <w:pStyle w:val="ListBullet"/>
        <w:spacing w:line="360" w:lineRule="auto"/>
      </w:pPr>
      <w:r>
        <w:rPr>
          <w:rFonts w:ascii="Times New Roman" w:hAnsi="Times New Roman" w:eastAsia="SimSun"/>
          <w:sz w:val="22"/>
        </w:rPr>
        <w:t>Per-group shifts move 0.13 where the cross-group gap moves under 0.002</w:t>
      </w:r>
    </w:p>
    <w:p>
      <w:pPr>
        <w:pStyle w:val="ListBullet"/>
        <w:spacing w:line="360" w:lineRule="auto"/>
      </w:pPr>
      <w:r>
        <w:rPr>
          <w:rFonts w:ascii="Times New Roman" w:hAnsi="Times New Roman" w:eastAsia="SimSun"/>
          <w:sz w:val="22"/>
        </w:rPr>
        <w:t>Static defense advantage is largest on the encoders the field uses</w:t>
      </w:r>
    </w:p>
    <w:p>
      <w:pPr>
        <w:pStyle w:val="ListBullet"/>
        <w:spacing w:line="360" w:lineRule="auto"/>
      </w:pPr>
      <w:r>
        <w:rPr>
          <w:rFonts w:ascii="Times New Roman" w:hAnsi="Times New Roman" w:eastAsia="SimSun"/>
          <w:sz w:val="22"/>
        </w:rPr>
        <w:t>A six-point protocol makes retrieval robustness claims interpretable</w:t>
      </w:r>
    </w:p>
    <w:p>
      <w:r>
        <w:rPr>
          <w:rFonts w:ascii="Times New Roman" w:hAnsi="Times New Roman" w:eastAsia="SimSun"/>
          <w:sz w:val="22"/>
        </w:rPr>
        <w:t>--&gt;</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are selected, tuned and validated by aggregate statistics of the retrieved set: the share of passages about each protected group, the deviation of a group's stance from a corpus reference, or the exposure of items across requests. Because a defense is only as sensitive as the statistic that selects it, an adversary who can make that statistic invariant defeats the defense </w:t>
      </w:r>
      <w:r>
        <w:rPr>
          <w:rFonts w:ascii="Times New Roman" w:hAnsi="Times New Roman" w:eastAsia="SimSun"/>
          <w:i/>
          <w:sz w:val="22"/>
        </w:rPr>
        <w:t>selection</w:t>
      </w:r>
      <w:r>
        <w:rPr>
          <w:rFonts w:ascii="Times New Roman" w:hAnsi="Times New Roman" w:eastAsia="SimSun"/>
          <w:sz w:val="22"/>
        </w:rPr>
        <w:t xml:space="preserve"> without touching the defense. We show that this is not a weakness of any particular metric but a structural property of the class, and that it is checkable before any attack is built. Every statistic in this literature has the form of a per-group quantity aggregated across groups, and an adversary can preserve that aggregate in exactly three ways: by balancing the quantity it counts (</w:t>
      </w:r>
      <w:r>
        <w:rPr>
          <w:rFonts w:ascii="Times New Roman" w:hAnsi="Times New Roman" w:eastAsia="SimSun"/>
          <w:b/>
          <w:sz w:val="22"/>
        </w:rPr>
        <w:t>F1</w:t>
      </w:r>
      <w:r>
        <w:rPr>
          <w:rFonts w:ascii="Times New Roman" w:hAnsi="Times New Roman" w:eastAsia="SimSun"/>
          <w:sz w:val="22"/>
        </w:rPr>
        <w:t>), by anchoring it to a reference the attack leaves intact (</w:t>
      </w:r>
      <w:r>
        <w:rPr>
          <w:rFonts w:ascii="Times New Roman" w:hAnsi="Times New Roman" w:eastAsia="SimSun"/>
          <w:b/>
          <w:sz w:val="22"/>
        </w:rPr>
        <w:t>F2</w:t>
      </w:r>
      <w:r>
        <w:rPr>
          <w:rFonts w:ascii="Times New Roman" w:hAnsi="Times New Roman" w:eastAsia="SimSun"/>
          <w:sz w:val="22"/>
        </w:rPr>
        <w:t>), or by moving all groups together so that a difference between them cancels (</w:t>
      </w:r>
      <w:r>
        <w:rPr>
          <w:rFonts w:ascii="Times New Roman" w:hAnsi="Times New Roman" w:eastAsia="SimSun"/>
          <w:b/>
          <w:sz w:val="22"/>
        </w:rPr>
        <w:t>F3</w:t>
      </w:r>
      <w:r>
        <w:rPr>
          <w:rFonts w:ascii="Times New Roman" w:hAnsi="Times New Roman" w:eastAsia="SimSun"/>
          <w:sz w:val="22"/>
        </w:rPr>
        <w:t>). The three modes are a falsifiable test rather than a description: applied to the published metrics they predict which will be blind, and the predictions hold.</w:t>
      </w:r>
    </w:p>
    <w:p>
      <w:r>
        <w:rPr>
          <w:rFonts w:ascii="Times New Roman" w:hAnsi="Times New Roman" w:eastAsia="SimSun"/>
          <w:sz w:val="22"/>
        </w:rPr>
        <w:t xml:space="preserve">The attack that realises them is </w:t>
      </w:r>
      <w:r>
        <w:rPr>
          <w:rFonts w:ascii="Times New Roman" w:hAnsi="Times New Roman" w:eastAsia="SimSun"/>
          <w:i/>
          <w:sz w:val="22"/>
        </w:rPr>
        <w:t>pairwise poisoning</w:t>
      </w:r>
      <w:r>
        <w:rPr>
          <w:rFonts w:ascii="Times New Roman" w:hAnsi="Times New Roman" w:eastAsia="SimSun"/>
          <w:sz w:val="22"/>
        </w:rPr>
        <w:t xml:space="preserve">, which injects matched passages drawn from the legitimate template inventory — one favourable to a group, one unfavourable to another — so that the injection is balanced across groups by construction and the stance of the evidence is skewed instead. We formalise representation as two orthogonal dimensions,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and measure both on a controlled corpus and on a naturally written bias benchmark. A positive control in which the ground truth changes by a known amount while corpus size is held fixed establishes that the indicted statistics are </w:t>
      </w:r>
      <w:r>
        <w:rPr>
          <w:rFonts w:ascii="Times New Roman" w:hAnsi="Times New Roman" w:eastAsia="SimSun"/>
          <w:i/>
          <w:sz w:val="22"/>
        </w:rPr>
        <w:t>working instruments</w:t>
      </w:r>
      <w:r>
        <w:rPr>
          <w:rFonts w:ascii="Times New Roman" w:hAnsi="Times New Roman" w:eastAsia="SimSun"/>
          <w:sz w:val="22"/>
        </w:rPr>
        <w:t xml:space="preserve">: they respond monotonically and in the correct direction. Against those same instruments, the R1 constraint is inert with an equivalence bound of exactly ±0.0000 — every constrained configuration reproduces the unconstrained inclusion rate per query, because the unconstrained baseline already admits adversarial passages on every query where it can (1.000 dense, 0.750 BM25), leaving no headroom for a reduction to appear. The signal lives in the per-group shifts rather than in the gap between groups: injection moves the suppressed group's stance by −0.13 to −0.18 and the favoured group's by +0.13, consistently across four generators spanning three model families at $p \le 0.0035$, while the absolute cross-group gap moves by less than 0.002. A defense-aware attacker then inverts the static ranking of defenses across six retrieval back-ends: the strongest defense's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begin at exactly 0.000 inclusion — and no defense retains measurable benefit beyond one perturbation step on any of them, while the injected passages stay over 94% semantically intact.</w:t>
      </w:r>
    </w:p>
    <w:p>
      <w:r>
        <w:rPr>
          <w:rFonts w:ascii="Times New Roman" w:hAnsi="Times New Roman" w:eastAsia="SimSun"/>
          <w:sz w:val="22"/>
        </w:rPr>
        <w:t>The consequence is a reporting requirement rather than another defense. We give a six-point protocol under which a robustness claim is interpretable: per-group shifts rather than cross-group differences, adversarial inclusion as a function of attacker strength rather than at a single operating point, the encoder reported as a factor, equivalence bounds for null claims, and the threat model stated explicitly. The study covers binary group partitions at the retrieval and generation layers across two corpora, and the invariance is conditional on the back-end: §8.1 states the retrievers and threat models in which the composition statistic stays flat, which is what a reader needs in order to know whether a null aggregate is informative in their own setting.</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because that attack preserves the very composition those statistics summarise, that the insensitivity has a single identifiable cause, and that the same cause reappears at the generation layer, where an absolute difference between groups is blind for the same structural reason.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candidate metric has that form; whether it reads clean depends on whether the injection balances the terms it aggregates. That is a property of the back-end rather than of the metric, and §5.9 measures it across four of them.</w:t>
      </w:r>
    </w:p>
    <w:p>
      <w:r>
        <w:rPr>
          <w:rFonts w:ascii="Times New Roman" w:hAnsi="Times New Roman" w:eastAsia="SimSun"/>
          <w:b/>
          <w:sz w:val="22"/>
        </w:rPr>
        <w:t>A second failure, and it is a property of a metric class rather than of any one choice.</w:t>
      </w:r>
      <w:r>
        <w:rPr>
          <w:rFonts w:ascii="Times New Roman" w:hAnsi="Times New Roman" w:eastAsia="SimSun"/>
          <w:sz w:val="22"/>
        </w:rPr>
        <w:t xml:space="preserve"> The natural repair is to move from composition to stance while keeping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fails for the same structural reason.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and the failure repeats at both layers we measure: at the retrieval layer two of three candidate R2 statistics are flat across the clean and fully attacked conditions (§5.3), and at the generation layer the absolute gap moves by less than 0.002 while the per-group shifts move by 0.13 at $p \le 0.0035$, consistently across generators (§5.7). A metric that is dominated by a corpus constant reports that constant and not the attack.</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On the lexical retriever the composition statistic reads clean however much of the injected set is retrieved, while two of three candidate R2 statistics are flat across the clean and fully attacked conditions; §8.1 states the retrievers and attacks on which each part of this holds.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 and they are what a defense should be selected on.</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Aggregates are not the only option: an individual-level signal separates clean from adversarial passages.</w:t>
      </w:r>
      <w:r>
        <w:rPr>
          <w:rFonts w:ascii="Times New Roman" w:hAnsi="Times New Roman" w:eastAsia="SimSun"/>
          <w:sz w:val="22"/>
        </w:rPr>
        <w:t xml:space="preserve"> We measure the number of distinct queries for which a passage is retrieved, and it separates the two populations cleanly on the controlled corpus. The claim is deliberately narrow and its refutation is specified: a signal of this kind must be shown to survive on naturally written text before it can carry any defensive weight (§7).</w:t>
      </w:r>
    </w:p>
    <w:p>
      <w:pPr>
        <w:pStyle w:val="ListBullet"/>
        <w:spacing w:line="360" w:lineRule="auto"/>
      </w:pPr>
      <w:r>
        <w:rPr>
          <w:rFonts w:ascii="Times New Roman" w:hAnsi="Times New Roman" w:eastAsia="SimSun"/>
          <w:b/>
          <w:sz w:val="22"/>
        </w:rPr>
        <w:t>Under an informed attacker the defenses do not merely weaken, they invert — and the static numbers are most optimistic exactly where the literature looks.</w:t>
      </w:r>
      <w:r>
        <w:rPr>
          <w:rFonts w:ascii="Times New Roman" w:hAnsi="Times New Roman" w:eastAsia="SimSun"/>
          <w:sz w:val="22"/>
        </w:rPr>
        <w:t xml:space="preserve"> Sweeping six retrieval back-ends against a defense-aware attacker, the static advantage is </w:t>
      </w:r>
      <w:r>
        <w:rPr>
          <w:rFonts w:ascii="Times New Roman" w:hAnsi="Times New Roman" w:eastAsia="SimSun"/>
          <w:i/>
          <w:sz w:val="22"/>
        </w:rPr>
        <w:t>largest</w:t>
      </w:r>
      <w:r>
        <w:rPr>
          <w:rFonts w:ascii="Times New Roman" w:hAnsi="Times New Roman" w:eastAsia="SimSun"/>
          <w:sz w:val="22"/>
        </w:rPr>
        <w:t xml:space="preserve"> on the pretrained encoders the compared work uses (four begin at exactly 0.000 adversarial inclusion), yet no defense retains measurable benefit beyond one perturbation step on any of them, and the injected passages stay over 94% semantically intact throughout — so the collapse cannot be blamed on the attack destroying its own material. The only configuration that survives at all is the one whose constraint acts on the composition of the retrieved </w:t>
      </w:r>
      <w:r>
        <w:rPr>
          <w:rFonts w:ascii="Times New Roman" w:hAnsi="Times New Roman" w:eastAsia="SimSun"/>
          <w:i/>
          <w:sz w:val="22"/>
        </w:rPr>
        <w:t>set</w:t>
      </w:r>
      <w:r>
        <w:rPr>
          <w:rFonts w:ascii="Times New Roman" w:hAnsi="Times New Roman" w:eastAsia="SimSun"/>
          <w:sz w:val="22"/>
        </w:rPr>
        <w:t xml:space="preserve"> rather than on individual passages — which is precisely the constraint this paper shows is blind. From these results we derive the reporting requirements a robustness claim must meet to be interpretable, and state them as a protocol rather than a suggestion.</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when adversarial fairness statistics are invariant.</w:t>
      </w:r>
      <w:r>
        <w:rPr>
          <w:rFonts w:ascii="Times New Roman" w:hAnsi="Times New Roman" w:eastAsia="SimSun"/>
          <w:sz w:val="22"/>
        </w:rPr>
        <w:t xml:space="preserve"> The form is universal; the invariance is conditional, and checkable in advance.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failure demonstrated at two layers, retrieval and generation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pStyle w:val="ListNumber"/>
        <w:spacing w:line="360" w:lineRule="auto"/>
      </w:pPr>
      <w:r>
        <w:rPr>
          <w:rFonts w:ascii="Times New Roman" w:hAnsi="Times New Roman" w:eastAsia="SimSun"/>
          <w:b/>
          <w:sz w:val="22"/>
        </w:rPr>
        <w:t>An adaptive-attacker result that turns the negative result into an actionable one.</w:t>
      </w:r>
      <w:r>
        <w:rPr>
          <w:rFonts w:ascii="Times New Roman" w:hAnsi="Times New Roman" w:eastAsia="SimSun"/>
          <w:sz w:val="22"/>
        </w:rPr>
        <w:t xml:space="preserve"> Against a defense-aware attacker on six back-ends, the static advantage of the strongest defense is largest precisely on the pretrained encoders the compared literature uses, and no defense survives beyond one perturbation step on any of them while the attack retains over 94% semantic fidelity (§5.8). The only constraint that retains any benefit is the one acting on set composition rather than on individual passages — the axis this paper shows is blind — which is why we conclude that the escape is </w:t>
      </w:r>
      <w:r>
        <w:rPr>
          <w:rFonts w:ascii="Times New Roman" w:hAnsi="Times New Roman" w:eastAsia="SimSun"/>
          <w:i/>
          <w:sz w:val="22"/>
        </w:rPr>
        <w:t>measurement</w:t>
      </w:r>
      <w:r>
        <w:rPr>
          <w:rFonts w:ascii="Times New Roman" w:hAnsi="Times New Roman" w:eastAsia="SimSun"/>
          <w:sz w:val="22"/>
        </w:rPr>
        <w:t xml:space="preserve"> rather than defense. From this we derive a six-point reporting protocol for robustness claims, the constructive counterpart to the three failure modes (§5.8.1).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as a retrieval-quality problem</w:t>
      </w:r>
    </w:p>
    <w:p>
      <w:r>
        <w:rPr>
          <w:rFonts w:ascii="Times New Roman" w:hAnsi="Times New Roman" w:eastAsia="SimSun"/>
          <w:b/>
          <w:sz w:val="22"/>
        </w:rPr>
        <w:t>This paper is about what a retrieval evaluation statistic can see, so it belongs to the corpus of work on how retrieved evidence is measured — not to the corpus of attack construction.</w:t>
      </w:r>
      <w:r>
        <w:rPr>
          <w:rFonts w:ascii="Times New Roman" w:hAnsi="Times New Roman" w:eastAsia="SimSun"/>
          <w:sz w:val="22"/>
        </w:rPr>
        <w:t xml:space="preserve"> 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 We adopt this literature's attacks as </w:t>
      </w:r>
      <w:r>
        <w:rPr>
          <w:rFonts w:ascii="Times New Roman" w:hAnsi="Times New Roman" w:eastAsia="SimSun"/>
          <w:i/>
          <w:sz w:val="22"/>
        </w:rPr>
        <w:t>instruments</w:t>
      </w:r>
      <w:r>
        <w:rPr>
          <w:rFonts w:ascii="Times New Roman" w:hAnsi="Times New Roman" w:eastAsia="SimSun"/>
          <w:sz w:val="22"/>
        </w:rPr>
        <w:t>, not as a contribution: what the paper adds is an argument about which statistics can register them, and the evaluation practice that follows. The attacks here are used the way a test collection is used — to make a measurement's blind spots observable, by reporting a change against a control condition rather than a single value. §3.4 and §5.7 return to what that reporting practice should be.</w:t>
      </w:r>
    </w:p>
    <w:p>
      <w:pPr>
        <w:shd w:val="clear" w:color="auto" w:fill="DCE6F1"/>
        <w:spacing w:before="200" w:after="80"/>
      </w:pPr>
      <w:r>
        <w:rPr>
          <w:rFonts w:ascii="Times New Roman" w:hAnsi="Times New Roman" w:eastAsia="Microsoft YaHei"/>
          <w:b/>
          <w:sz w:val="26"/>
        </w:rPr>
        <w:t>2.2 Fairness as a measurement choice in information access</w:t>
      </w:r>
    </w:p>
    <w:p>
      <w:r>
        <w:rPr>
          <w:rFonts w:ascii="Times New Roman" w:hAnsi="Times New Roman" w:eastAsia="SimSun"/>
          <w:sz w:val="22"/>
        </w:rPr>
        <w:t xml:space="preserve">Fairness in RAG has been studied primarily as a property of the knowledge base and the generator rather than of an adversary, and — this is the point for what follows — each work defines fairness by the statistic it optimises.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 xml:space="preserve">Two measurement traditions meet here, and it matters which statistics each one supplies. Group fairness in information access is defined over a set — the share of a group in a retrieved set, or its exposure across requests — so its natural statistics are aggregates over groups, and the critiques of those aggregates in the wider fairness literature are critiques of exactly that form (§2.3). Item-side fair ranking instead treats fairness as a property of a distribution over rankings, which is why its machinery is stochastic. Read this way, the RAG fairness results above are not a set of competing defenses but a set of </w:t>
      </w:r>
      <w:r>
        <w:rPr>
          <w:rFonts w:ascii="Times New Roman" w:hAnsi="Times New Roman" w:eastAsia="SimSun"/>
          <w:i/>
          <w:sz w:val="22"/>
        </w:rPr>
        <w:t>measurement choices</w:t>
      </w:r>
      <w:r>
        <w:rPr>
          <w:rFonts w:ascii="Times New Roman" w:hAnsi="Times New Roman" w:eastAsia="SimSun"/>
          <w:sz w:val="22"/>
        </w:rPr>
        <w:t>, each taking a position on what fairness is a property of: Wu et al. take it to be a property of the retrieved set's composition, Kim et al. of component membership, Kim and Diaz of the ranking distribution.</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r>
        <w:rPr>
          <w:rFonts w:ascii="Times New Roman" w:hAnsi="Times New Roman" w:eastAsia="SimSun"/>
          <w:sz w:val="22"/>
        </w:rPr>
        <w:t>A survey and one further result frame how this work should be read. Dai et al. [14] survey bias and unfairness in retrieval and recommend unified measurement across the pipeline — the direction this paper takes, though their unit of analysis is the system rather than the statistic. Hu et al. [15] find that RAG can undermine fairness even for users who are vigilant about it, so the harm does not require a careless reader; that is the property our adversary exploits deliberately, and it is why we treat the retrieval-layer statistic rather than the user's behaviour as the thing to fix.</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 that is, they all occupy one cell of the two-dimensional space this paper separates, and the cell they occupy is the one an adversary can leave untouched. Second, several authors independently report that existing defenses are not robust enough — "further optimization … to achieve more stable and generalizable defense performance" [4]; "single-stage defenses give limited robustness" [16];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r>
        <w:rPr>
          <w:rFonts w:ascii="Times New Roman" w:hAnsi="Times New Roman" w:eastAsia="SimSun"/>
          <w:b/>
          <w:sz w:val="22"/>
        </w:rPr>
        <w:t>Where this sits relative to the measurement literature.</w:t>
      </w:r>
      <w:r>
        <w:rPr>
          <w:rFonts w:ascii="Times New Roman" w:hAnsi="Times New Roman" w:eastAsia="SimSun"/>
          <w:sz w:val="22"/>
        </w:rPr>
        <w:t xml:space="preserve"> Treating an evaluation statistic as a </w:t>
      </w:r>
      <w:r>
        <w:rPr>
          <w:rFonts w:ascii="Times New Roman" w:hAnsi="Times New Roman" w:eastAsia="SimSun"/>
          <w:i/>
          <w:sz w:val="22"/>
        </w:rPr>
        <w:t>measurement</w:t>
      </w:r>
      <w:r>
        <w:rPr>
          <w:rFonts w:ascii="Times New Roman" w:hAnsi="Times New Roman" w:eastAsia="SimSun"/>
          <w:sz w:val="22"/>
        </w:rPr>
        <w:t xml:space="preserve"> of a theoretical construct — and asking whether it can bear the inferential weight placed on it — is established in the measurement literature, and this paper builds on it. Jacobs and Wallach [17] show that many documented fairness harms are mismatches between the construct a system is supposed to measure and its operationalisation, and they supply construct-validity tools for making those mismatches explicit. Ekstrand et al. [18] make the same argument inside information access, where an aggregate over groups hides the per-group and per-stakeholder structure that a fairness claim depends on. Our contribution is what happens to that argument once the adversary is put back in. Those works establish that an aggregate may fail to represent its construct; we show that under pairwise poisoning the failure is not a matter of degree or of a badly chosen threshold but an </w:t>
      </w:r>
      <w:r>
        <w:rPr>
          <w:rFonts w:ascii="Times New Roman" w:hAnsi="Times New Roman" w:eastAsia="SimSun"/>
          <w:i/>
          <w:sz w:val="22"/>
        </w:rPr>
        <w:t>invariance</w:t>
      </w:r>
      <w:r>
        <w:rPr>
          <w:rFonts w:ascii="Times New Roman" w:hAnsi="Times New Roman" w:eastAsia="SimSun"/>
          <w:sz w:val="22"/>
        </w:rPr>
        <w:t xml:space="preserve">, and we identify which invariance each candidate statistic has — F1 for anything counting, F2 for anything referenced, F3 for anything differenced — and therefore which construction defeats it. §3.4 states the three modes, §5 confirms them on measurements, and the positive control in the same section separates an invariant instrument from a broken one. The remaining distance from that literature is also the reason our recommendation is a </w:t>
      </w:r>
      <w:r>
        <w:rPr>
          <w:rFonts w:ascii="Times New Roman" w:hAnsi="Times New Roman" w:eastAsia="SimSun"/>
          <w:i/>
          <w:sz w:val="22"/>
        </w:rPr>
        <w:t>reporting</w:t>
      </w:r>
      <w:r>
        <w:rPr>
          <w:rFonts w:ascii="Times New Roman" w:hAnsi="Times New Roman" w:eastAsia="SimSun"/>
          <w:sz w:val="22"/>
        </w:rPr>
        <w:t xml:space="preserve"> rule rather than a new metric: a per-group report is what construct validity requires when no aggregation is safe.</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the distinction is what makes the R2 statistics measurable at all.</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invariances an adversary can impose</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pPr>
        <w:jc w:val="center"/>
      </w:pPr>
      <w:r>
        <w:drawing>
          <wp:inline xmlns:a="http://schemas.openxmlformats.org/drawingml/2006/main" xmlns:pic="http://schemas.openxmlformats.org/drawingml/2006/picture">
            <wp:extent cx="3168000" cy="3168000"/>
            <wp:docPr id="1" name="Picture 1"/>
            <wp:cNvGraphicFramePr>
              <a:graphicFrameLocks noChangeAspect="1"/>
            </wp:cNvGraphicFramePr>
            <a:graphic>
              <a:graphicData uri="http://schemas.openxmlformats.org/drawingml/2006/picture">
                <pic:pic>
                  <pic:nvPicPr>
                    <pic:cNvPr id="0" name="fig_framework.png"/>
                    <pic:cNvPicPr/>
                  </pic:nvPicPr>
                  <pic:blipFill>
                    <a:blip r:embed="rId9"/>
                    <a:stretch>
                      <a:fillRect/>
                    </a:stretch>
                  </pic:blipFill>
                  <pic:spPr>
                    <a:xfrm>
                      <a:off x="0" y="0"/>
                      <a:ext cx="3168000" cy="3168000"/>
                    </a:xfrm>
                    <a:prstGeom prst="rect"/>
                  </pic:spPr>
                </pic:pic>
              </a:graphicData>
            </a:graphic>
          </wp:inline>
        </w:drawing>
      </w:r>
    </w:p>
    <w:p>
      <w:pPr>
        <w:jc w:val="center"/>
      </w:pPr>
      <w:r>
        <w:rPr>
          <w:i/>
          <w:sz w:val="17"/>
        </w:rPr>
        <w:t>The paper's framework in one panel. **(A)** A group-neutral query is answered from the top-$k$ retrieved set. **(B)** The attacker injects passages drawn from the legitimate template inventory in matched pairs --- one favourable to group A, one unfavourable to group B --- so the injection is balanced across groups by construction. **(C)** What a statistic then sees: an R1 (group-composition) statistic is left at its clean value because the attack balances the count, whereas an R2 (within-group stance) statistic is skewed because the attack changes the stance the evidence supports. The figure states the two dimensions the paper separates; the three failure modes below are the ways an aggregate over such statistics loses that signal.</w:t>
      </w:r>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pPr>
        <w:jc w:val="center"/>
      </w:pPr>
      <w:r>
        <w:drawing>
          <wp:inline xmlns:a="http://schemas.openxmlformats.org/drawingml/2006/main" xmlns:pic="http://schemas.openxmlformats.org/drawingml/2006/picture">
            <wp:extent cx="5040000" cy="937736"/>
            <wp:docPr id="2" name="Picture 2"/>
            <wp:cNvGraphicFramePr>
              <a:graphicFrameLocks noChangeAspect="1"/>
            </wp:cNvGraphicFramePr>
            <a:graphic>
              <a:graphicData uri="http://schemas.openxmlformats.org/drawingml/2006/picture">
                <pic:pic>
                  <pic:nvPicPr>
                    <pic:cNvPr id="0" name="fig_failure_modes.png"/>
                    <pic:cNvPicPr/>
                  </pic:nvPicPr>
                  <pic:blipFill>
                    <a:blip r:embed="rId10"/>
                    <a:stretch>
                      <a:fillRect/>
                    </a:stretch>
                  </pic:blipFill>
                  <pic:spPr>
                    <a:xfrm>
                      <a:off x="0" y="0"/>
                      <a:ext cx="5040000" cy="937736"/>
                    </a:xfrm>
                    <a:prstGeom prst="rect"/>
                  </pic:spPr>
                </pic:pic>
              </a:graphicData>
            </a:graphic>
          </wp:inline>
        </w:drawing>
      </w:r>
    </w:p>
    <w:p>
      <w:pPr>
        <w:jc w:val="center"/>
      </w:pPr>
      <w:r>
        <w:rPr>
          <w:i/>
          <w:sz w:val="17"/>
        </w:rPr>
        <w:t>The three failure modes, shown on the same retrieval setting. **(a) F1:** the injection contributes equally to every group, so a counting or composition statistic returns its clean value --- the attack is invisible to it (measured in §5.1 and §5.2). **(b) F2:** the statistic is anchored to a reference the attack does not move, so it reports the component that varies with the query rather than the one that varies with the attack (`stance_div` and `stance_onesided`, §3.2 and §5.1). **(c) F3:** all groups are relocated together, so any difference between groups is unchanged however far the groups move (`stance_gap` and its generation-layer twin, §5.1 and §5.7). The three panels are conceptual and carry no measured values; the corresponding measurements are in the sections named in the table above and in the responsiveness figure.</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3" name="Picture 3"/>
            <wp:cNvGraphicFramePr>
              <a:graphicFrameLocks noChangeAspect="1"/>
            </wp:cNvGraphicFramePr>
            <a:graphic>
              <a:graphicData uri="http://schemas.openxmlformats.org/drawingml/2006/picture">
                <pic:pic>
                  <pic:nvPicPr>
                    <pic:cNvPr id="0" name="fig_responsiveness.png"/>
                    <pic:cNvPicPr/>
                  </pic:nvPicPr>
                  <pic:blipFill>
                    <a:blip r:embed="rId11"/>
                    <a:stretch>
                      <a:fillRect/>
                    </a:stretch>
                  </pic:blipFill>
                  <pic:spPr>
                    <a:xfrm>
                      <a:off x="0" y="0"/>
                      <a:ext cx="5040000" cy="1726737"/>
                    </a:xfrm>
                    <a:prstGeom prst="rect"/>
                  </pic:spPr>
                </pic:pic>
              </a:graphicData>
            </a:graphic>
          </wp:inline>
        </w:drawing>
      </w:r>
    </w:p>
    <w:p>
      <w:pPr>
        <w:jc w:val="center"/>
      </w:pPr>
      <w:r>
        <w:rPr>
          <w:i/>
          <w:sz w:val="17"/>
        </w:rPr>
        <w:t>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 Two further bodies of work bound the claim. Within IR evaluation, the practice of reporting a distribution of per-query and per-topic effects rather than a single averaged score is long established — the TREC fair ranking track reports per-query exposure alongside the aggregate for this reason [19] — and the statistical machinery for attaching uncertainty to a difference between conditions, rather than to a single number, is standard [20]. Neither is aimed at an adversary, which is precisely why the invariance matters: those practices make a statistic's uncertainty visible, and an invariant statistic has no uncertainty to report, because its per-query difference is identically zero.</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[21, 22]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r>
        <w:rPr>
          <w:rFonts w:ascii="Times New Roman" w:hAnsi="Times New Roman" w:eastAsia="SimSun"/>
          <w:sz w:val="22"/>
        </w:rPr>
        <w:t xml:space="preserve">The chapter is organised as an argument rather than as a sequence of runs. §5.1 and §5.2 establish the two dimensions and the attack, and — critically — show that the statistics we indict are </w:t>
      </w:r>
      <w:r>
        <w:rPr>
          <w:rFonts w:ascii="Times New Roman" w:hAnsi="Times New Roman" w:eastAsia="SimSun"/>
          <w:i/>
          <w:sz w:val="22"/>
        </w:rPr>
        <w:t>working instruments</w:t>
      </w:r>
      <w:r>
        <w:rPr>
          <w:rFonts w:ascii="Times New Roman" w:hAnsi="Times New Roman" w:eastAsia="SimSun"/>
          <w:sz w:val="22"/>
        </w:rPr>
        <w:t>: a positive control moves the ground truth by a known amount and they respond. §5.3 and §5.4 then demonstrate two of the three failure modes on a controlled corpus with an exactly known clean reference and on the naturally written BBQ benchmark, each swept over injection rate $\rho \in \{0.1\%, \dots, 2\%\}$. §5.5 and §5.6 establish that the encoder is a factor rather than an implementation detail. §5.7 shows the retrieval-layer skew reaches the generated text, and §5.8 closes the loop with a defense-aware attacker: the defenses do not merely weaken, and the static numbers that select them are optimistic exactly where the literature looks.</w:t>
      </w:r>
    </w:p>
    <w:p>
      <w:pPr>
        <w:shd w:val="clear" w:color="auto" w:fill="DCE6F1"/>
        <w:spacing w:before="200" w:after="80"/>
      </w:pPr>
      <w:r>
        <w:rPr>
          <w:rFonts w:ascii="Times New Roman" w:hAnsi="Times New Roman" w:eastAsia="Microsoft YaHei"/>
          <w:b/>
          <w:sz w:val="26"/>
        </w:rPr>
        <w:t>5.1 Two orthogonal dimensions of representation</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 constraint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4" name="Picture 4"/>
            <wp:cNvGraphicFramePr>
              <a:graphicFrameLocks noChangeAspect="1"/>
            </wp:cNvGraphicFramePr>
            <a:graphic>
              <a:graphicData uri="http://schemas.openxmlformats.org/drawingml/2006/picture">
                <pic:pic>
                  <pic:nvPicPr>
                    <pic:cNvPr id="0" name="fig_r1_inertness.png"/>
                    <pic:cNvPicPr/>
                  </pic:nvPicPr>
                  <pic:blipFill>
                    <a:blip r:embed="rId12"/>
                    <a:stretch>
                      <a:fillRect/>
                    </a:stretch>
                  </pic:blipFill>
                  <pic:spPr>
                    <a:xfrm>
                      <a:off x="0" y="0"/>
                      <a:ext cx="3168000" cy="1800485"/>
                    </a:xfrm>
                    <a:prstGeom prst="rect"/>
                  </pic:spPr>
                </pic:pic>
              </a:graphicData>
            </a:graphic>
          </wp:inline>
        </w:drawing>
      </w:r>
    </w:p>
    <w:p>
      <w:pPr>
        <w:jc w:val="center"/>
      </w:pPr>
      <w:r>
        <w:rPr>
          <w:i/>
          <w:sz w:val="17"/>
        </w:rPr>
        <w:t>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F1: an aggregate over group counts returns its clean value</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its scope is stated with it.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F2: reference-based statistics track the query, not the attack</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[21],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sz w:val="22"/>
        </w:rPr>
        <w:t>The sweep itself is in Appendix C, Table C6.</w:t>
      </w:r>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sz w:val="22"/>
        </w:rPr>
        <w:t>The operating-point comparison is in Appendix C, Table C7.</w:t>
      </w:r>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The diagnostic is the per-group shift, not the gap between groups</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5" name="Picture 5"/>
            <wp:cNvGraphicFramePr>
              <a:graphicFrameLocks noChangeAspect="1"/>
            </wp:cNvGraphicFramePr>
            <a:graphic>
              <a:graphicData uri="http://schemas.openxmlformats.org/drawingml/2006/picture">
                <pic:pic>
                  <pic:nvPicPr>
                    <pic:cNvPr id="0" name="fig_encoder_scale.png"/>
                    <pic:cNvPicPr/>
                  </pic:nvPicPr>
                  <pic:blipFill>
                    <a:blip r:embed="rId13"/>
                    <a:stretch>
                      <a:fillRect/>
                    </a:stretch>
                  </pic:blipFill>
                  <pic:spPr>
                    <a:xfrm>
                      <a:off x="0" y="0"/>
                      <a:ext cx="3168000" cy="2231931"/>
                    </a:xfrm>
                    <a:prstGeom prst="rect"/>
                  </pic:spPr>
                </pic:pic>
              </a:graphicData>
            </a:graphic>
          </wp:inline>
        </w:drawing>
      </w:r>
    </w:p>
    <w:p>
      <w:pPr>
        <w:jc w:val="center"/>
      </w:pPr>
      <w:r>
        <w:rPr>
          <w:i/>
          <w:sz w:val="17"/>
        </w:rPr>
        <w:t>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sz w:val="22"/>
        </w:rPr>
        <w:t>The decomposition is in Appendix C, Table C8.</w:t>
      </w:r>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sz w:val="22"/>
        </w:rPr>
        <w:t>The cross-back-end cut is in Appendix C, Table C9.</w:t>
      </w:r>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Under an informed attacker no defense survives</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sz w:val="22"/>
        </w:rPr>
        <w:t>The static advantage of off-manifold filtering is a factor of three over no defense at this operating point.</w:t>
      </w:r>
    </w:p>
    <w:p>
      <w:pPr>
        <w:shd w:val="clear" w:color="auto" w:fill="DCE6F1"/>
        <w:spacing w:before="200" w:after="80"/>
      </w:pPr>
      <w:r>
        <w:rPr>
          <w:rFonts w:ascii="Times New Roman" w:hAnsi="Times New Roman" w:eastAsia="Microsoft YaHei"/>
          <w:b/>
          <w:sz w:val="26"/>
        </w:rPr>
        <w:t>5.7 The skew reaches the generated text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C9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6" name="Picture 6"/>
            <wp:cNvGraphicFramePr>
              <a:graphicFrameLocks noChangeAspect="1"/>
            </wp:cNvGraphicFramePr>
            <a:graphic>
              <a:graphicData uri="http://schemas.openxmlformats.org/drawingml/2006/picture">
                <pic:pic>
                  <pic:nvPicPr>
                    <pic:cNvPr id="0" name="fig_aggregate_vs_pergroup.png"/>
                    <pic:cNvPicPr/>
                  </pic:nvPicPr>
                  <pic:blipFill>
                    <a:blip r:embed="rId14"/>
                    <a:stretch>
                      <a:fillRect/>
                    </a:stretch>
                  </pic:blipFill>
                  <pic:spPr>
                    <a:xfrm>
                      <a:off x="0" y="0"/>
                      <a:ext cx="5040000" cy="1799891"/>
                    </a:xfrm>
                    <a:prstGeom prst="rect"/>
                  </pic:spPr>
                </pic:pic>
              </a:graphicData>
            </a:graphic>
          </wp:inline>
        </w:drawing>
      </w:r>
    </w:p>
    <w:p>
      <w:pPr>
        <w:jc w:val="center"/>
      </w:pPr>
      <w:r>
        <w:rPr>
          <w:i/>
          <w:sz w:val="17"/>
        </w:rPr>
        <w:t>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pPr>
        <w:jc w:val="center"/>
      </w:pPr>
      <w:r>
        <w:drawing>
          <wp:inline xmlns:a="http://schemas.openxmlformats.org/drawingml/2006/main" xmlns:pic="http://schemas.openxmlformats.org/drawingml/2006/picture">
            <wp:extent cx="5040000" cy="2520000"/>
            <wp:docPr id="7" name="Picture 7"/>
            <wp:cNvGraphicFramePr>
              <a:graphicFrameLocks noChangeAspect="1"/>
            </wp:cNvGraphicFramePr>
            <a:graphic>
              <a:graphicData uri="http://schemas.openxmlformats.org/drawingml/2006/picture">
                <pic:pic>
                  <pic:nvPicPr>
                    <pic:cNvPr id="0" name="fig_probe_commitment.png"/>
                    <pic:cNvPicPr/>
                  </pic:nvPicPr>
                  <pic:blipFill>
                    <a:blip r:embed="rId15"/>
                    <a:stretch>
                      <a:fillRect/>
                    </a:stretch>
                  </pic:blipFill>
                  <pic:spPr>
                    <a:xfrm>
                      <a:off x="0" y="0"/>
                      <a:ext cx="5040000" cy="2520000"/>
                    </a:xfrm>
                    <a:prstGeom prst="rect"/>
                  </pic:spPr>
                </pic:pic>
              </a:graphicData>
            </a:graphic>
          </wp:inline>
        </w:drawing>
      </w:r>
    </w:p>
    <w:p>
      <w:pPr>
        <w:jc w:val="center"/>
      </w:pPr>
      <w:r>
        <w:rPr>
          <w:i/>
          <w:sz w:val="17"/>
        </w:rPr>
        <w:t>The instrument, not the corpus, was the reason the natural corpus appeared to show nothing. **Left:** with a free-form probe most answers take no position at all --- on the full BBQ corpus 99.0% of them, against 84.4% on the controlled corpus --- so the statistic reads near zero under every condition and no effect of any size could have appeared in it. **Right:** a forced-choice probe makes the same answers commit to a side, and on identical retrieval conditions it reads an effect, with five per-group shifts at $p &lt; 0.05$ for one generator (Table 14). The panels are conceptual and carry no measured values; the commitment values they illustrate are in Table 13.</w:t>
      </w:r>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hd w:val="clear" w:color="auto" w:fill="DCE6F1"/>
        <w:spacing w:before="200" w:after="80"/>
      </w:pPr>
      <w:r>
        <w:rPr>
          <w:rFonts w:ascii="Times New Roman" w:hAnsi="Times New Roman" w:eastAsia="Microsoft YaHei"/>
          <w:b/>
          <w:sz w:val="26"/>
        </w:rPr>
        <w:t>5.8 Under an informed attacker the defenses invert</w:t>
      </w:r>
    </w:p>
    <w:p>
      <w:r>
        <w:rPr>
          <w:rFonts w:ascii="Times New Roman" w:hAnsi="Times New Roman" w:eastAsia="SimSun"/>
          <w:sz w:val="22"/>
        </w:rPr>
        <w:t xml:space="preserve">The sweep above uses our own feature-hashing dense retriever. Because the </w:t>
      </w:r>
      <w:r>
        <w:rPr>
          <w:rFonts w:ascii="Times New Roman" w:hAnsi="Times New Roman" w:eastAsia="SimSun"/>
          <w:i/>
          <w:sz w:val="22"/>
        </w:rPr>
        <w:t>shape</w:t>
      </w:r>
      <w:r>
        <w:rPr>
          <w:rFonts w:ascii="Times New Roman" w:hAnsi="Times New Roman" w:eastAsia="SimSun"/>
          <w:sz w:val="22"/>
        </w:rPr>
        <w:t xml:space="preserve"> of the collapse — not merely its endpoint — could depend on the encoder, we repeated it on four further back-ends: </w:t>
      </w:r>
      <w:r>
        <w:rPr>
          <w:rFonts w:ascii="Times New Roman" w:hAnsi="Times New Roman" w:eastAsia="SimSun"/>
          <w:b/>
          <w:sz w:val="22"/>
        </w:rPr>
        <w:t>GTE-base</w:t>
      </w:r>
      <w:r>
        <w:rPr>
          <w:rFonts w:ascii="Times New Roman" w:hAnsi="Times New Roman" w:eastAsia="SimSun"/>
          <w:sz w:val="22"/>
        </w:rPr>
        <w:t xml:space="preserve"> (the encoder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(used by the RAG fairness evaluations above), </w:t>
      </w:r>
      <w:r>
        <w:rPr>
          <w:rFonts w:ascii="Times New Roman" w:hAnsi="Times New Roman" w:eastAsia="SimSun"/>
          <w:b/>
          <w:sz w:val="22"/>
        </w:rPr>
        <w:t>Contriever</w:t>
      </w:r>
      <w:r>
        <w:rPr>
          <w:rFonts w:ascii="Times New Roman" w:hAnsi="Times New Roman" w:eastAsia="SimSun"/>
          <w:sz w:val="22"/>
        </w:rPr>
        <w:t xml:space="preserve">,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SPLADE is what makes the comparison diagnostic: it is a trained neural encoder, like GTE and E5, but its representation is sparse, like BM25's.</w:t>
      </w:r>
    </w:p>
    <w:p>
      <w:r>
        <w:rPr>
          <w:rFonts w:ascii="Times New Roman" w:hAnsi="Times New Roman" w:eastAsia="SimSun"/>
          <w:b/>
          <w:sz w:val="22"/>
        </w:rPr>
        <w:t>Table 15.</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for off-manifold filtering, by back-end. Six back-ends; </w:t>
      </w:r>
      <w:r>
        <w:rPr>
          <w:rFonts w:ascii="Consolas" w:hAnsi="Consolas" w:eastAsia="Consolas"/>
          <w:sz w:val="21"/>
        </w:rPr>
        <w:t>usage</w:t>
      </w:r>
      <w:r>
        <w:rPr>
          <w:rFonts w:ascii="Times New Roman" w:hAnsi="Times New Roman" w:eastAsia="SimSun"/>
          <w:sz w:val="22"/>
        </w:rPr>
        <w:t xml:space="preserve"> (the attacker's semantic fidelity) in the last column.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Consolas" w:hAnsi="Consolas" w:eastAsia="Consolas"/>
                <w:b/>
                <w:sz w:val="18"/>
              </w:rPr>
              <w:t>usage</w:t>
            </w:r>
            <w:r>
              <w:rPr>
                <w:rFonts w:ascii="Times New Roman" w:hAnsi="Times New Roman" w:eastAsia="SimSun"/>
                <w:b/>
                <w:sz w:val="19"/>
              </w:rPr>
              <w:t xml:space="preserve"> at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not the one the dense-versus-sparse account predicts, and it takes all six back-ends to see why. Four of the five pretrained encoders (GTE-base, E5-base-v2, Contriever and SPLADE-large) begin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a single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whereas Contriever (0.000 → 0.625 → 1.000) and both SPLADE sizes climb gradually and resemble our own hashed retriever (0.188 / 0.500 / 0.812 and 0.000 / 0.500 / 0.750 against 0.250 / 0.562 / 0.812). Scaling SPLADE up even </w:t>
      </w:r>
      <w:r>
        <w:rPr>
          <w:rFonts w:ascii="Times New Roman" w:hAnsi="Times New Roman" w:eastAsia="SimSun"/>
          <w:i/>
          <w:sz w:val="22"/>
        </w:rPr>
        <w:t>improves</w:t>
      </w:r>
      <w:r>
        <w:rPr>
          <w:rFonts w:ascii="Times New Roman" w:hAnsi="Times New Roman" w:eastAsia="SimSun"/>
          <w:sz w:val="22"/>
        </w:rPr>
        <w:t xml:space="preserve"> the defense's static position (0.188 → 0.000 at $\lambda = 0$) while leaving the collapse rate unchanged. Neither "pretrained versus hashed" nor "dense versus sparse" describes the collapse on its own.</w:t>
      </w:r>
    </w:p>
    <w:p>
      <w:r>
        <w:rPr>
          <w:rFonts w:ascii="Times New Roman" w:hAnsi="Times New Roman" w:eastAsia="SimSun"/>
          <w:b/>
          <w:sz w:val="22"/>
        </w:rPr>
        <w:t>Finding 12.</w:t>
      </w:r>
      <w:r>
        <w:rPr>
          <w:rFonts w:ascii="Times New Roman" w:hAnsi="Times New Roman" w:eastAsia="SimSun"/>
          <w:sz w:val="22"/>
        </w:rPr>
        <w:t xml:space="preserve"> Three claims are stable across all six back-ends and are what this finding rests on. First, </w:t>
      </w:r>
      <w:r>
        <w:rPr>
          <w:rFonts w:ascii="Times New Roman" w:hAnsi="Times New Roman" w:eastAsia="SimSun"/>
          <w:b/>
          <w:sz w:val="22"/>
        </w:rPr>
        <w:t>the static advantage is largest on the pretrained encoders</w:t>
      </w:r>
      <w:r>
        <w:rPr>
          <w:rFonts w:ascii="Times New Roman" w:hAnsi="Times New Roman" w:eastAsia="SimSun"/>
          <w:sz w:val="22"/>
        </w:rPr>
        <w:t xml:space="preserve">: all five begin below our hashed retriever's 0.250, and four begin at 0.000 — the reverse of the concern that motivated the experiment, and awkward for the compared literature, because the static numbers one would use to select a defense are most optimistic precisely on the back-ends that literature uses. Second, </w:t>
      </w: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and on four of them none survives $\lambda = 0.25$. Third, </w:t>
      </w: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at least 0.943 at $\lambda = 1$ on every back-end, so the injected material is over 94% semantically intact at the point where the defenses have lost most or all of their advantage.</w:t>
      </w:r>
    </w:p>
    <w:p>
      <w:r>
        <w:rPr>
          <w:rFonts w:ascii="Times New Roman" w:hAnsi="Times New Roman" w:eastAsia="SimSun"/>
          <w:sz w:val="22"/>
        </w:rPr>
        <w:t xml:space="preserve">The </w:t>
      </w:r>
      <w:r>
        <w:rPr>
          <w:rFonts w:ascii="Times New Roman" w:hAnsi="Times New Roman" w:eastAsia="SimSun"/>
          <w:i/>
          <w:sz w:val="22"/>
        </w:rPr>
        <w:t>shape</w:t>
      </w:r>
      <w:r>
        <w:rPr>
          <w:rFonts w:ascii="Times New Roman" w:hAnsi="Times New Roman" w:eastAsia="SimSun"/>
          <w:sz w:val="22"/>
        </w:rPr>
        <w:t xml:space="preserve"> of the collapse therefore varies by encoder in a way that no single property we measured accounts for, and the practical consequence is sharper for it. A defense selected on its static advantage is defeated comprehensively, and a robustness claim measured on one back-end inherits an unmeasured dependence on which back-end was chosen. This is the same lesson as §5.5, arrived at from the opposite direction: there, the encoder determined whether a </w:t>
      </w:r>
      <w:r>
        <w:rPr>
          <w:rFonts w:ascii="Times New Roman" w:hAnsi="Times New Roman" w:eastAsia="SimSun"/>
          <w:i/>
          <w:sz w:val="22"/>
        </w:rPr>
        <w:t>text</w:t>
      </w:r>
      <w:r>
        <w:rPr>
          <w:rFonts w:ascii="Times New Roman" w:hAnsi="Times New Roman" w:eastAsia="SimSun"/>
          <w:sz w:val="22"/>
        </w:rPr>
        <w:t xml:space="preserve"> attack worked at all; here, it determines whether a defense collapses in one perturbation step or three. </w:t>
      </w:r>
      <w:r>
        <w:rPr>
          <w:rFonts w:ascii="Times New Roman" w:hAnsi="Times New Roman" w:eastAsia="SimSun"/>
          <w:b/>
          <w:sz w:val="22"/>
        </w:rPr>
        <w:t>In both cases the encoder is not a nuisance parameter.</w:t>
      </w:r>
    </w:p>
    <w:p>
      <w:r>
        <w:rPr>
          <w:rFonts w:ascii="Times New Roman" w:hAnsi="Times New Roman" w:eastAsia="SimSun"/>
          <w:b/>
          <w:sz w:val="22"/>
        </w:rPr>
        <w:t>Finding 13. What survives adaptation, and why.</w:t>
      </w:r>
      <w:r>
        <w:rPr>
          <w:rFonts w:ascii="Times New Roman" w:hAnsi="Times New Roman" w:eastAsia="SimSun"/>
          <w:sz w:val="22"/>
        </w:rPr>
        <w:t xml:space="preserve"> Only one configuration retains measurable benefit, and only in part of the sweep: the R1+R2 constraint on BBQ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against 0.363 for no defense), and it beats multi-query consistency throughout (0.319 against 0.535 at $\lambda = 0.5$; 0.764 against 0.847 at $\lambda = 1$). We attribute this to the defense's </w:t>
      </w:r>
      <w:r>
        <w:rPr>
          <w:rFonts w:ascii="Times New Roman" w:hAnsi="Times New Roman" w:eastAsia="SimSun"/>
          <w:i/>
          <w:sz w:val="22"/>
        </w:rPr>
        <w:t>objective</w:t>
      </w:r>
      <w:r>
        <w:rPr>
          <w:rFonts w:ascii="Times New Roman" w:hAnsi="Times New Roman" w:eastAsia="SimSun"/>
          <w:sz w:val="22"/>
        </w:rPr>
        <w:t xml:space="preserve"> rather than to any attack-specific matching. It is the only defense whose constraint is expressed over the composition of the retrieved set rather than over individual passage statistics, so it cannot be satisfied by choosing perturbations — only by changing which passages are mutually compatible. That is a weaker effect than the static evaluation suggested, and it disappears by $\lambda = 2$. The asymmetry is the useful part: </w:t>
      </w:r>
      <w:r>
        <w:rPr>
          <w:rFonts w:ascii="Times New Roman" w:hAnsi="Times New Roman" w:eastAsia="SimSun"/>
          <w:b/>
          <w:sz w:val="22"/>
        </w:rPr>
        <w:t>constraints on properties of an individual passage are optimisable-against because the attacker controls that passage; constraints on the set are not, but they are correspondingly weaker.</w:t>
      </w:r>
    </w:p>
    <w:p>
      <w:pPr>
        <w:spacing w:before="160" w:after="60"/>
      </w:pPr>
      <w:r>
        <w:rPr>
          <w:rFonts w:ascii="Times New Roman" w:hAnsi="Times New Roman" w:eastAsia="Microsoft YaHei"/>
          <w:b/>
          <w:sz w:val="23"/>
        </w:rPr>
        <w:t>5.8.1 The evaluation protocol these results imply</w:t>
      </w:r>
    </w:p>
    <w:p>
      <w:r>
        <w:rPr>
          <w:rFonts w:ascii="Times New Roman" w:hAnsi="Times New Roman" w:eastAsia="SimSun"/>
          <w:sz w:val="22"/>
        </w:rPr>
        <w:t xml:space="preserve">Findings 12 and 13 are not sensitive to our particular attack. They follow from the attacker being informed, which is the standard against which robustness claims are judged in the adversarial literature [23, 24]. We therefore state the protocol as a requirement rather than a suggestion, and it is the second half of the measurement contribution this paper makes: §3.4 gave the conditions under which a </w:t>
      </w:r>
      <w:r>
        <w:rPr>
          <w:rFonts w:ascii="Times New Roman" w:hAnsi="Times New Roman" w:eastAsia="SimSun"/>
          <w:i/>
          <w:sz w:val="22"/>
        </w:rPr>
        <w:t>statistic</w:t>
      </w:r>
      <w:r>
        <w:rPr>
          <w:rFonts w:ascii="Times New Roman" w:hAnsi="Times New Roman" w:eastAsia="SimSun"/>
          <w:sz w:val="22"/>
        </w:rPr>
        <w:t xml:space="preserve"> is blind, and this gives the conditions under which a </w:t>
      </w:r>
      <w:r>
        <w:rPr>
          <w:rFonts w:ascii="Times New Roman" w:hAnsi="Times New Roman" w:eastAsia="SimSun"/>
          <w:i/>
          <w:sz w:val="22"/>
        </w:rPr>
        <w:t>robustness claim</w:t>
      </w:r>
      <w:r>
        <w:rPr>
          <w:rFonts w:ascii="Times New Roman" w:hAnsi="Times New Roman" w:eastAsia="SimSun"/>
          <w:sz w:val="22"/>
        </w:rPr>
        <w:t xml:space="preserve"> is interpretable.</w:t>
      </w:r>
    </w:p>
    <w:p>
      <w:pPr>
        <w:pStyle w:val="ListNumber"/>
        <w:spacing w:line="360" w:lineRule="auto"/>
      </w:pPr>
      <w:r>
        <w:rPr>
          <w:rFonts w:ascii="Times New Roman" w:hAnsi="Times New Roman" w:eastAsia="SimSun"/>
          <w:b/>
          <w:sz w:val="22"/>
        </w:rPr>
        <w:t>State the threat model, including whether the attacker knows the defense.</w:t>
      </w:r>
      <w:r>
        <w:rPr>
          <w:rFonts w:ascii="Times New Roman" w:hAnsi="Times New Roman" w:eastAsia="SimSun"/>
          <w:sz w:val="22"/>
        </w:rPr>
        <w:t xml:space="preserve"> A claim of robustness without this qualifier is uninterpretable, and it is the qualifier that separates the two evaluations in §5.2 and §5.6.</w:t>
      </w:r>
    </w:p>
    <w:p>
      <w:pPr>
        <w:pStyle w:val="ListNumber"/>
        <w:spacing w:line="360" w:lineRule="auto"/>
      </w:pPr>
      <w:r>
        <w:rPr>
          <w:rFonts w:ascii="Times New Roman" w:hAnsi="Times New Roman" w:eastAsia="SimSun"/>
          <w:b/>
          <w:sz w:val="22"/>
        </w:rPr>
        <w:t>Report adversarial inclusion as a function of attacker strength, not at one operating point.</w:t>
      </w:r>
      <w:r>
        <w:rPr>
          <w:rFonts w:ascii="Times New Roman" w:hAnsi="Times New Roman" w:eastAsia="SimSun"/>
          <w:sz w:val="22"/>
        </w:rPr>
        <w:t xml:space="preserve"> A single value cannot distinguish a defense that is robust from one evaluated below its failure threshold. In our sweep every defense fails by $\lambda = 2$; a sweep stopping at $\lambda = 0.25$ would have shown three apparently robust defenses.</w:t>
      </w:r>
    </w:p>
    <w:p>
      <w:pPr>
        <w:pStyle w:val="ListNumber"/>
        <w:spacing w:line="360" w:lineRule="auto"/>
      </w:pPr>
      <w:r>
        <w:rPr>
          <w:rFonts w:ascii="Times New Roman" w:hAnsi="Times New Roman" w:eastAsia="SimSun"/>
          <w:b/>
          <w:sz w:val="22"/>
        </w:rPr>
        <w:t>Sweep to the point of failure and report where it occurs.</w:t>
      </w:r>
      <w:r>
        <w:rPr>
          <w:rFonts w:ascii="Times New Roman" w:hAnsi="Times New Roman" w:eastAsia="SimSun"/>
          <w:sz w:val="22"/>
        </w:rPr>
        <w:t xml:space="preserve"> The location of the failure is the result; the endpoint alone is not.</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trivially achieves low inclusion by returning fewer or worse passages;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and report the attacker's optimal response to its expectation rather than to a sample. By Proposition 4, randomisation bounds the variance of the attacker's utility and not its mean.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and if it is, treat it as a constraint in the attacker's optimisation rather than as an unknown. This is Corollary 2, and in our experiments it is decisive for the defense that looked strongest statically: publishing a scoring function, which auditability requires, is equivalent to handing the attacker a differentiable objective.</w:t>
      </w:r>
    </w:p>
    <w:p>
      <w:pPr>
        <w:shd w:val="clear" w:color="auto" w:fill="DCE6F1"/>
        <w:spacing w:before="200" w:after="80"/>
      </w:pPr>
      <w:r>
        <w:rPr>
          <w:rFonts w:ascii="Times New Roman" w:hAnsi="Times New Roman" w:eastAsia="Microsoft YaHei"/>
          <w:b/>
          <w:sz w:val="26"/>
        </w:rPr>
        <w:t>5.9 The composition statistic's validity is a property of the back-end</w:t>
      </w:r>
    </w:p>
    <w:p>
      <w:r>
        <w:rPr>
          <w:rFonts w:ascii="Times New Roman" w:hAnsi="Times New Roman" w:eastAsia="SimSun"/>
          <w:sz w:val="22"/>
        </w:rPr>
        <w:t>The results so far establish the invariance and its cause. This section establishes where it</w:t>
      </w:r>
    </w:p>
    <w:p>
      <w:r>
        <w:rPr>
          <w:rFonts w:ascii="Times New Roman" w:hAnsi="Times New Roman" w:eastAsia="SimSun"/>
          <w:sz w:val="22"/>
        </w:rPr>
        <w:t>holds, which turns out to vary by retrieval back-end in a way that is measurable and that a</w:t>
      </w:r>
    </w:p>
    <w:p>
      <w:r>
        <w:rPr>
          <w:rFonts w:ascii="Times New Roman" w:hAnsi="Times New Roman" w:eastAsia="SimSun"/>
          <w:sz w:val="22"/>
        </w:rPr>
        <w:t>practitioner can check before trusting a null aggregate.</w:t>
      </w:r>
    </w:p>
    <w:p>
      <w:r>
        <w:rPr>
          <w:rFonts w:ascii="Times New Roman" w:hAnsi="Times New Roman" w:eastAsia="SimSun"/>
          <w:b/>
          <w:sz w:val="22"/>
        </w:rPr>
        <w:t>Design.</w:t>
      </w:r>
      <w:r>
        <w:rPr>
          <w:rFonts w:ascii="Times New Roman" w:hAnsi="Times New Roman" w:eastAsia="SimSun"/>
          <w:sz w:val="22"/>
        </w:rPr>
        <w:t xml:space="preserve"> The same balanced pairwise injection is applied to four retrieval back-ends under</w:t>
      </w:r>
    </w:p>
    <w:p>
      <w:r>
        <w:rPr>
          <w:rFonts w:ascii="Times New Roman" w:hAnsi="Times New Roman" w:eastAsia="SimSun"/>
          <w:sz w:val="22"/>
        </w:rPr>
        <w:t>identical conditions, and the composition statistic is read as a function of how much of the</w:t>
      </w:r>
    </w:p>
    <w:p>
      <w:r>
        <w:rPr>
          <w:rFonts w:ascii="Times New Roman" w:hAnsi="Times New Roman" w:eastAsia="SimSun"/>
          <w:sz w:val="22"/>
        </w:rPr>
        <w:t>retrieved set is adversarial. If composition drifts nowhere, the invariance is a property of the</w:t>
      </w:r>
    </w:p>
    <w:p>
      <w:r>
        <w:rPr>
          <w:rFonts w:ascii="Times New Roman" w:hAnsi="Times New Roman" w:eastAsia="SimSun"/>
          <w:sz w:val="22"/>
        </w:rPr>
        <w:t>statistic. If it drifts on some back-ends and not others, the invariance is a property of the</w:t>
      </w:r>
    </w:p>
    <w:p>
      <w:r>
        <w:rPr>
          <w:rFonts w:ascii="Times New Roman" w:hAnsi="Times New Roman" w:eastAsia="SimSun"/>
          <w:sz w:val="22"/>
        </w:rPr>
        <w:t>back-end, and that distinction decides whether a clean aggregate means anything.</w:t>
      </w:r>
    </w:p>
    <w:p>
      <w:r>
        <w:rPr>
          <w:rFonts w:ascii="Times New Roman" w:hAnsi="Times New Roman" w:eastAsia="SimSun"/>
          <w:b/>
          <w:sz w:val="22"/>
        </w:rPr>
        <w:t>Result.</w:t>
      </w:r>
      <w:r>
        <w:rPr>
          <w:rFonts w:ascii="Times New Roman" w:hAnsi="Times New Roman" w:eastAsia="SimSun"/>
          <w:sz w:val="22"/>
        </w:rPr>
        <w:t xml:space="preserve"> Undefended composition drift, by relocated fraction:</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back-end</w:t>
            </w:r>
          </w:p>
        </w:tc>
        <w:tc>
          <w:tcPr>
            <w:tcW w:type="dxa" w:w="3213"/>
            <w:shd w:val="clear" w:color="auto" w:fill="DCE6F1"/>
          </w:tcPr>
          <w:p>
            <w:pPr>
              <w:spacing w:line="240" w:lineRule="auto" w:after="0"/>
            </w:pPr>
            <w:r>
              <w:rPr>
                <w:rFonts w:ascii="Times New Roman" w:hAnsi="Times New Roman" w:eastAsia="SimSun"/>
                <w:b/>
                <w:sz w:val="19"/>
              </w:rPr>
              <w:t>attack</w:t>
            </w:r>
          </w:p>
        </w:tc>
        <w:tc>
          <w:tcPr>
            <w:tcW w:type="dxa" w:w="3213"/>
            <w:shd w:val="clear" w:color="auto" w:fill="DCE6F1"/>
          </w:tcPr>
          <w:p>
            <w:pPr>
              <w:spacing w:line="240" w:lineRule="auto" w:after="0"/>
            </w:pPr>
            <w:r>
              <w:rPr>
                <w:rFonts w:ascii="Times New Roman" w:hAnsi="Times New Roman" w:eastAsia="SimSun"/>
                <w:b/>
                <w:sz w:val="19"/>
              </w:rPr>
              <w:t>composition drift</w:t>
            </w:r>
          </w:p>
        </w:tc>
      </w:tr>
      <w:tr>
        <w:tc>
          <w:tcPr>
            <w:tcW w:type="dxa" w:w="3213"/>
          </w:tcPr>
          <w:p>
            <w:pPr>
              <w:spacing w:line="240" w:lineRule="auto" w:after="0"/>
            </w:pPr>
            <w:r>
              <w:rPr>
                <w:rFonts w:ascii="Consolas" w:hAnsi="Consolas" w:eastAsia="Consolas"/>
                <w:sz w:val="18"/>
              </w:rPr>
              <w:t>st</w:t>
            </w:r>
            <w:r>
              <w:rPr>
                <w:rFonts w:ascii="Times New Roman" w:hAnsi="Times New Roman" w:eastAsia="SimSun"/>
                <w:sz w:val="19"/>
              </w:rPr>
              <w:t xml:space="preserve"> (GTE-base)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b/>
                <w:sz w:val="19"/>
              </w:rPr>
              <w:t>0.0000 at every partial level</w:t>
            </w:r>
            <w:r>
              <w:rPr>
                <w:rFonts w:ascii="Times New Roman" w:hAnsi="Times New Roman" w:eastAsia="SimSun"/>
                <w:sz w:val="19"/>
              </w:rPr>
              <w:t>, 0.2400 only at full relocation</w:t>
            </w:r>
          </w:p>
        </w:tc>
      </w:tr>
      <w:tr>
        <w:tc>
          <w:tcPr>
            <w:tcW w:type="dxa" w:w="3213"/>
          </w:tcPr>
          <w:p>
            <w:pPr>
              <w:spacing w:line="240" w:lineRule="auto" w:after="0"/>
            </w:pPr>
            <w:r>
              <w:rPr>
                <w:rFonts w:ascii="Times New Roman" w:hAnsi="Times New Roman" w:eastAsia="SimSun"/>
                <w:sz w:val="19"/>
              </w:rPr>
              <w:t>dense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 xml:space="preserve">0.0000 at the lowest level, rising to </w:t>
            </w:r>
            <w:r>
              <w:rPr>
                <w:rFonts w:ascii="Times New Roman" w:hAnsi="Times New Roman" w:eastAsia="SimSun"/>
                <w:b/>
                <w:sz w:val="19"/>
              </w:rPr>
              <w:t>0.1750</w:t>
            </w:r>
            <w:r>
              <w:rPr>
                <w:rFonts w:ascii="Times New Roman" w:hAnsi="Times New Roman" w:eastAsia="SimSun"/>
                <w:sz w:val="19"/>
              </w:rPr>
              <w:t xml:space="preserve"> at full relocation</w:t>
            </w:r>
          </w:p>
        </w:tc>
      </w:tr>
      <w:tr>
        <w:tc>
          <w:tcPr>
            <w:tcW w:type="dxa" w:w="3213"/>
          </w:tcPr>
          <w:p>
            <w:pPr>
              <w:spacing w:line="240" w:lineRule="auto" w:after="0"/>
            </w:pPr>
            <w:r>
              <w:rPr>
                <w:rFonts w:ascii="Times New Roman" w:hAnsi="Times New Roman" w:eastAsia="SimSun"/>
                <w:sz w:val="19"/>
              </w:rPr>
              <w:t>BM25</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 xml:space="preserve">0.0000 at low relocation, rising to </w:t>
            </w:r>
            <w:r>
              <w:rPr>
                <w:rFonts w:ascii="Times New Roman" w:hAnsi="Times New Roman" w:eastAsia="SimSun"/>
                <w:b/>
                <w:sz w:val="19"/>
              </w:rPr>
              <w:t>0.2280</w:t>
            </w:r>
            <w:r>
              <w:rPr>
                <w:rFonts w:ascii="Times New Roman" w:hAnsi="Times New Roman" w:eastAsia="SimSun"/>
                <w:sz w:val="19"/>
              </w:rPr>
              <w:t xml:space="preserve"> at full relocation</w:t>
            </w:r>
          </w:p>
        </w:tc>
      </w:tr>
      <w:tr>
        <w:tc>
          <w:tcPr>
            <w:tcW w:type="dxa" w:w="3213"/>
          </w:tcPr>
          <w:p>
            <w:pPr>
              <w:spacing w:line="240" w:lineRule="auto" w:after="0"/>
            </w:pPr>
            <w:r>
              <w:rPr>
                <w:rFonts w:ascii="Times New Roman" w:hAnsi="Times New Roman" w:eastAsia="SimSun"/>
                <w:sz w:val="19"/>
              </w:rPr>
              <w:t>SPLADE</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 xml:space="preserve">0.0000 at zero, 0.2000--0.4000 through the middle, </w:t>
            </w:r>
            <w:r>
              <w:rPr>
                <w:rFonts w:ascii="Times New Roman" w:hAnsi="Times New Roman" w:eastAsia="SimSun"/>
                <w:b/>
                <w:sz w:val="19"/>
              </w:rPr>
              <w:t>0.2250</w:t>
            </w:r>
            <w:r>
              <w:rPr>
                <w:rFonts w:ascii="Times New Roman" w:hAnsi="Times New Roman" w:eastAsia="SimSun"/>
                <w:sz w:val="19"/>
              </w:rPr>
              <w:t xml:space="preserve"> at full relocation</w:t>
            </w:r>
          </w:p>
        </w:tc>
      </w:tr>
    </w:tbl>
    <w:p/>
    <w:p>
      <w:r>
        <w:rPr>
          <w:rFonts w:ascii="Times New Roman" w:hAnsi="Times New Roman" w:eastAsia="SimSun"/>
          <w:sz w:val="22"/>
        </w:rPr>
        <w:t xml:space="preserve">On </w:t>
      </w:r>
      <w:r>
        <w:rPr>
          <w:rFonts w:ascii="Consolas" w:hAnsi="Consolas" w:eastAsia="Consolas"/>
          <w:sz w:val="21"/>
        </w:rPr>
        <w:t>st</w:t>
      </w:r>
      <w:r>
        <w:rPr>
          <w:rFonts w:ascii="Times New Roman" w:hAnsi="Times New Roman" w:eastAsia="SimSun"/>
          <w:sz w:val="22"/>
        </w:rPr>
        <w:t xml:space="preserve"> the injected set is compositionally balanced and stays balanced however much of it is</w:t>
      </w:r>
    </w:p>
    <w:p>
      <w:r>
        <w:rPr>
          <w:rFonts w:ascii="Times New Roman" w:hAnsi="Times New Roman" w:eastAsia="SimSun"/>
          <w:sz w:val="22"/>
        </w:rPr>
        <w:t>retrieved, so the composition statistic reads clean while the evidence moves: the regime in which</w:t>
      </w:r>
    </w:p>
    <w:p>
      <w:r>
        <w:rPr>
          <w:rFonts w:ascii="Times New Roman" w:hAnsi="Times New Roman" w:eastAsia="SimSun"/>
          <w:sz w:val="22"/>
        </w:rPr>
        <w:t>the aggregate is uninformative. On the other three back-ends the retrieved set relocates</w:t>
      </w:r>
    </w:p>
    <w:p>
      <w:r>
        <w:rPr>
          <w:rFonts w:ascii="Times New Roman" w:hAnsi="Times New Roman" w:eastAsia="SimSun"/>
          <w:sz w:val="22"/>
        </w:rPr>
        <w:t>composition as well and the statistic moves with it, so a clean reading there would carry</w:t>
      </w:r>
    </w:p>
    <w:p>
      <w:r>
        <w:rPr>
          <w:rFonts w:ascii="Times New Roman" w:hAnsi="Times New Roman" w:eastAsia="SimSun"/>
          <w:sz w:val="22"/>
        </w:rPr>
        <w:t>information.</w:t>
      </w:r>
    </w:p>
    <w:p>
      <w:r>
        <w:rPr>
          <w:rFonts w:ascii="Times New Roman" w:hAnsi="Times New Roman" w:eastAsia="SimSun"/>
          <w:b/>
          <w:sz w:val="22"/>
        </w:rPr>
        <w:t>The dependence is not a monotone function of the relocated fraction.</w:t>
      </w:r>
      <w:r>
        <w:rPr>
          <w:rFonts w:ascii="Times New Roman" w:hAnsi="Times New Roman" w:eastAsia="SimSun"/>
          <w:sz w:val="22"/>
        </w:rPr>
        <w:t xml:space="preserve"> BM25 reads 0.0000 at a</w:t>
      </w:r>
    </w:p>
    <w:p>
      <w:r>
        <w:rPr>
          <w:rFonts w:ascii="Times New Roman" w:hAnsi="Times New Roman" w:eastAsia="SimSun"/>
          <w:sz w:val="22"/>
        </w:rPr>
        <w:t>relocated fraction of 0.8 while reading 0.2000 at 0.6, and SPLADE peaks in the middle</w:t>
      </w:r>
    </w:p>
    <w:p>
      <w:r>
        <w:rPr>
          <w:rFonts w:ascii="Times New Roman" w:hAnsi="Times New Roman" w:eastAsia="SimSun"/>
          <w:sz w:val="22"/>
        </w:rPr>
        <w:t>(0.4000 at 0.6) and falls back (0.2250 at 1.0). The relation between how much adversarial</w:t>
      </w:r>
    </w:p>
    <w:p>
      <w:r>
        <w:rPr>
          <w:rFonts w:ascii="Times New Roman" w:hAnsi="Times New Roman" w:eastAsia="SimSun"/>
          <w:sz w:val="22"/>
        </w:rPr>
        <w:t>evidence is present and how much composition moves therefore cannot be summarised by a single</w:t>
      </w:r>
    </w:p>
    <w:p>
      <w:r>
        <w:rPr>
          <w:rFonts w:ascii="Times New Roman" w:hAnsi="Times New Roman" w:eastAsia="SimSun"/>
          <w:sz w:val="22"/>
        </w:rPr>
        <w:t>slope, which is the practical reason to measure the regime rather than extrapolate to it.</w:t>
      </w:r>
    </w:p>
    <w:p>
      <w:r>
        <w:rPr>
          <w:rFonts w:ascii="Times New Roman" w:hAnsi="Times New Roman" w:eastAsia="SimSun"/>
          <w:b/>
          <w:sz w:val="22"/>
        </w:rPr>
        <w:t>Why this is a result and not a caveat.</w:t>
      </w:r>
      <w:r>
        <w:rPr>
          <w:rFonts w:ascii="Times New Roman" w:hAnsi="Times New Roman" w:eastAsia="SimSun"/>
          <w:sz w:val="22"/>
        </w:rPr>
        <w:t xml:space="preserve"> The balanced pairwise construction is a sufficient</w:t>
      </w:r>
    </w:p>
    <w:p>
      <w:r>
        <w:rPr>
          <w:rFonts w:ascii="Times New Roman" w:hAnsi="Times New Roman" w:eastAsia="SimSun"/>
          <w:sz w:val="22"/>
        </w:rPr>
        <w:t>condition for the invariance, not a universal one. Stated that way the finding is actionable: the</w:t>
      </w:r>
    </w:p>
    <w:p>
      <w:r>
        <w:rPr>
          <w:rFonts w:ascii="Times New Roman" w:hAnsi="Times New Roman" w:eastAsia="SimSun"/>
          <w:sz w:val="22"/>
        </w:rPr>
        <w:t>three-question test of §3.4 predicts whether a candidate statistic is invariant *for a stated</w:t>
      </w:r>
    </w:p>
    <w:p>
      <w:r>
        <w:rPr>
          <w:rFonts w:ascii="Times New Roman" w:hAnsi="Times New Roman" w:eastAsia="SimSun"/>
          <w:sz w:val="22"/>
        </w:rPr>
        <w:t>back-end and threat model*, and §5.9 supplies the measurement that tells a practitioner which</w:t>
      </w:r>
    </w:p>
    <w:p>
      <w:r>
        <w:rPr>
          <w:rFonts w:ascii="Times New Roman" w:hAnsi="Times New Roman" w:eastAsia="SimSun"/>
          <w:sz w:val="22"/>
        </w:rPr>
        <w:t>regime they are in. A paper reporting a null aggregate cannot interpret it without this, and the</w:t>
      </w:r>
    </w:p>
    <w:p>
      <w:r>
        <w:rPr>
          <w:rFonts w:ascii="Times New Roman" w:hAnsi="Times New Roman" w:eastAsia="SimSun"/>
          <w:sz w:val="22"/>
        </w:rPr>
        <w:t>table is the check.</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distinction that governs how the result should be read.</w:t>
      </w:r>
      <w:r>
        <w:rPr>
          <w:rFonts w:ascii="Times New Roman" w:hAnsi="Times New Roman" w:eastAsia="SimSun"/>
          <w:sz w:val="22"/>
        </w:rPr>
        <w:t xml:space="preserve"> Corollary 1 does not imply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These are the standard reasons adaptive evaluation is required, and they are why security venues expect it. What this paper establishes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Individual-Level Signal</w:t>
      </w:r>
    </w:p>
    <w:p>
      <w:r>
        <w:rPr>
          <w:rFonts w:ascii="Times New Roman" w:hAnsi="Times New Roman" w:eastAsia="SimSun"/>
          <w:sz w:val="22"/>
        </w:rPr>
        <w:t>Proposition 1 indicates that a usable defense needs individual-level evidence. We report one such signal and state the test that would falsify it.</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[19],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Sensitivity is not validity, and the per-group report is a case in point.</w:t>
      </w:r>
      <w:r>
        <w:rPr>
          <w:rFonts w:ascii="Times New Roman" w:hAnsi="Times New Roman" w:eastAsia="SimSun"/>
          <w:sz w:val="22"/>
        </w:rPr>
        <w:t xml:space="preserve"> The per-group report is more sensitive than an aggregate, and a more sensitive instrument still has to be shown to measure the right quantity.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r>
        <w:rPr>
          <w:rFonts w:ascii="Times New Roman" w:hAnsi="Times New Roman" w:eastAsia="SimSun"/>
          <w:sz w:val="22"/>
        </w:rPr>
        <w:t xml:space="preserve"> Ten constraints bound what this study establishes. The table states</w:t>
      </w:r>
    </w:p>
    <w:p>
      <w:r>
        <w:rPr>
          <w:rFonts w:ascii="Times New Roman" w:hAnsi="Times New Roman" w:eastAsia="SimSun"/>
          <w:sz w:val="22"/>
        </w:rPr>
        <w:t>each one and what it costs; the full statement of each, with the measurements behind it,</w:t>
      </w:r>
    </w:p>
    <w:p>
      <w:r>
        <w:rPr>
          <w:rFonts w:ascii="Times New Roman" w:hAnsi="Times New Roman" w:eastAsia="SimSun"/>
          <w:sz w:val="22"/>
        </w:rPr>
        <w:t>is in Appendix 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w:t>
            </w:r>
          </w:p>
        </w:tc>
        <w:tc>
          <w:tcPr>
            <w:tcW w:type="dxa" w:w="3213"/>
            <w:shd w:val="clear" w:color="auto" w:fill="DCE6F1"/>
          </w:tcPr>
          <w:p>
            <w:pPr>
              <w:spacing w:line="240" w:lineRule="auto" w:after="0"/>
            </w:pPr>
            <w:r>
              <w:rPr>
                <w:rFonts w:ascii="Times New Roman" w:hAnsi="Times New Roman" w:eastAsia="SimSun"/>
                <w:b/>
                <w:sz w:val="19"/>
              </w:rPr>
              <w:t>Limitation</w:t>
            </w:r>
          </w:p>
        </w:tc>
        <w:tc>
          <w:tcPr>
            <w:tcW w:type="dxa" w:w="3213"/>
            <w:shd w:val="clear" w:color="auto" w:fill="DCE6F1"/>
          </w:tcPr>
          <w:p>
            <w:pPr>
              <w:spacing w:line="240" w:lineRule="auto" w:after="0"/>
            </w:pPr>
            <w:r>
              <w:rPr>
                <w:rFonts w:ascii="Times New Roman" w:hAnsi="Times New Roman" w:eastAsia="SimSun"/>
                <w:b/>
                <w:sz w:val="19"/>
              </w:rPr>
              <w:t>What it constrains, or what already handles it</w:t>
            </w:r>
          </w:p>
        </w:tc>
      </w:tr>
      <w:tr>
        <w:tc>
          <w:tcPr>
            <w:tcW w:type="dxa" w:w="3213"/>
          </w:tcPr>
          <w:p>
            <w:pPr>
              <w:spacing w:line="240" w:lineRule="auto" w:after="0"/>
            </w:pPr>
            <w:r>
              <w:rPr>
                <w:rFonts w:ascii="Times New Roman" w:hAnsi="Times New Roman" w:eastAsia="SimSun"/>
                <w:sz w:val="19"/>
              </w:rPr>
              <w:t>1</w:t>
            </w:r>
          </w:p>
        </w:tc>
        <w:tc>
          <w:tcPr>
            <w:tcW w:type="dxa" w:w="3213"/>
          </w:tcPr>
          <w:p>
            <w:pPr>
              <w:spacing w:line="240" w:lineRule="auto" w:after="0"/>
            </w:pPr>
            <w:r>
              <w:rPr>
                <w:rFonts w:ascii="Times New Roman" w:hAnsi="Times New Roman" w:eastAsia="SimSun"/>
                <w:b/>
                <w:sz w:val="19"/>
              </w:rPr>
              <w:t>Group- and stance-annotated passages are required, and neutral retrieval corpora do not carry them</w:t>
            </w:r>
          </w:p>
        </w:tc>
        <w:tc>
          <w:tcPr>
            <w:tcW w:type="dxa" w:w="3213"/>
          </w:tcPr>
          <w:p>
            <w:pPr>
              <w:spacing w:line="240" w:lineRule="auto" w:after="0"/>
            </w:pPr>
            <w:r>
              <w:rPr>
                <w:rFonts w:ascii="Times New Roman" w:hAnsi="Times New Roman" w:eastAsia="SimSun"/>
                <w:sz w:val="19"/>
              </w:rPr>
              <w:t>The binding constraint on this whole line of work: the framework's applicability is bounded by annotation, not computation. R1 needs a group label per passage and R2 a stance label, and no standard neutral corpus (NQ, MS MARCO) has either, nor can stance toward a group be inferred from a neutral passage. Described in full in Appendix D.1.</w:t>
            </w:r>
          </w:p>
        </w:tc>
      </w:tr>
      <w:tr>
        <w:tc>
          <w:tcPr>
            <w:tcW w:type="dxa" w:w="3213"/>
          </w:tcPr>
          <w:p>
            <w:pPr>
              <w:spacing w:line="240" w:lineRule="auto" w:after="0"/>
            </w:pPr>
            <w:r>
              <w:rPr>
                <w:rFonts w:ascii="Times New Roman" w:hAnsi="Times New Roman" w:eastAsia="SimSun"/>
                <w:sz w:val="19"/>
              </w:rPr>
              <w:t>2</w:t>
            </w:r>
          </w:p>
        </w:tc>
        <w:tc>
          <w:tcPr>
            <w:tcW w:type="dxa" w:w="3213"/>
          </w:tcPr>
          <w:p>
            <w:pPr>
              <w:spacing w:line="240" w:lineRule="auto" w:after="0"/>
            </w:pPr>
            <w:r>
              <w:rPr>
                <w:rFonts w:ascii="Times New Roman" w:hAnsi="Times New Roman" w:eastAsia="SimSun"/>
                <w:b/>
                <w:sz w:val="19"/>
              </w:rPr>
              <w:t>Neither corpus is a neutral retrieval benchmark, and they disagree in two respects</w:t>
            </w:r>
          </w:p>
        </w:tc>
        <w:tc>
          <w:tcPr>
            <w:tcW w:type="dxa" w:w="3213"/>
          </w:tcPr>
          <w:p>
            <w:pPr>
              <w:spacing w:line="240" w:lineRule="auto" w:after="0"/>
            </w:pPr>
            <w:r>
              <w:rPr>
                <w:rFonts w:ascii="Times New Roman" w:hAnsi="Times New Roman" w:eastAsia="SimSun"/>
                <w:sz w:val="19"/>
              </w:rPr>
              <w:t>The text-only attack works only on the controlled corpus; the R2 constraint reduces inclusion only on BBQ. Both conditions are reported rather than the favourable one, and the mechanism behind the first disagreement is identified (§5.4).</w:t>
            </w:r>
          </w:p>
        </w:tc>
      </w:tr>
      <w:tr>
        <w:tc>
          <w:tcPr>
            <w:tcW w:type="dxa" w:w="3213"/>
          </w:tcPr>
          <w:p>
            <w:pPr>
              <w:spacing w:line="240" w:lineRule="auto" w:after="0"/>
            </w:pPr>
            <w:r>
              <w:rPr>
                <w:rFonts w:ascii="Times New Roman" w:hAnsi="Times New Roman" w:eastAsia="SimSun"/>
                <w:sz w:val="19"/>
              </w:rPr>
              <w:t>3</w:t>
            </w:r>
          </w:p>
        </w:tc>
        <w:tc>
          <w:tcPr>
            <w:tcW w:type="dxa" w:w="3213"/>
          </w:tcPr>
          <w:p>
            <w:pPr>
              <w:spacing w:line="240" w:lineRule="auto" w:after="0"/>
            </w:pPr>
            <w:r>
              <w:rPr>
                <w:rFonts w:ascii="Times New Roman" w:hAnsi="Times New Roman" w:eastAsia="SimSun"/>
                <w:b/>
                <w:sz w:val="19"/>
              </w:rPr>
              <w:t>The absolute R2 metric does not transfer across corpora</w:t>
            </w:r>
          </w:p>
        </w:tc>
        <w:tc>
          <w:tcPr>
            <w:tcW w:type="dxa" w:w="3213"/>
          </w:tcPr>
          <w:p>
            <w:pPr>
              <w:spacing w:line="240" w:lineRule="auto" w:after="0"/>
            </w:pPr>
            <w:r>
              <w:rPr>
                <w:rFonts w:ascii="Consolas" w:hAnsi="Consolas" w:eastAsia="Consolas"/>
                <w:sz w:val="18"/>
              </w:rPr>
              <w:t>stance_gap</w:t>
            </w:r>
            <w:r>
              <w:rPr>
                <w:rFonts w:ascii="Times New Roman" w:hAnsi="Times New Roman" w:eastAsia="SimSun"/>
                <w:sz w:val="19"/>
              </w:rPr>
              <w:t xml:space="preserve"> is exactly 0 on the balanced controlled corpus but 0.9326 on BBQ </w:t>
            </w:r>
            <w:r>
              <w:rPr>
                <w:rFonts w:ascii="Times New Roman" w:hAnsi="Times New Roman" w:eastAsia="SimSun"/>
                <w:i/>
                <w:sz w:val="19"/>
              </w:rPr>
              <w:t>before any attack</w:t>
            </w:r>
            <w:r>
              <w:rPr>
                <w:rFonts w:ascii="Times New Roman" w:hAnsi="Times New Roman" w:eastAsia="SimSun"/>
                <w:sz w:val="19"/>
              </w:rPr>
              <w:t>. Only the change from the clean baseline is informative there, and §5.4 relies on the change throughout.</w:t>
            </w:r>
          </w:p>
        </w:tc>
      </w:tr>
      <w:tr>
        <w:tc>
          <w:tcPr>
            <w:tcW w:type="dxa" w:w="3213"/>
          </w:tcPr>
          <w:p>
            <w:pPr>
              <w:spacing w:line="240" w:lineRule="auto" w:after="0"/>
            </w:pPr>
            <w:r>
              <w:rPr>
                <w:rFonts w:ascii="Times New Roman" w:hAnsi="Times New Roman" w:eastAsia="SimSun"/>
                <w:sz w:val="19"/>
              </w:rPr>
              <w:t>4</w:t>
            </w:r>
          </w:p>
        </w:tc>
        <w:tc>
          <w:tcPr>
            <w:tcW w:type="dxa" w:w="3213"/>
          </w:tcPr>
          <w:p>
            <w:pPr>
              <w:spacing w:line="240" w:lineRule="auto" w:after="0"/>
            </w:pPr>
            <w:r>
              <w:rPr>
                <w:rFonts w:ascii="Times New Roman" w:hAnsi="Times New Roman" w:eastAsia="SimSun"/>
                <w:b/>
                <w:sz w:val="19"/>
              </w:rPr>
              <w:t>Injection budget must be reported as a rate, not a count</w:t>
            </w:r>
          </w:p>
        </w:tc>
        <w:tc>
          <w:tcPr>
            <w:tcW w:type="dxa" w:w="3213"/>
          </w:tcPr>
          <w:p>
            <w:pPr>
              <w:spacing w:line="240" w:lineRule="auto" w:after="0"/>
            </w:pPr>
            <w:r>
              <w:rPr>
                <w:rFonts w:ascii="Times New Roman" w:hAnsi="Times New Roman" w:eastAsia="SimSun"/>
                <w:sz w:val="19"/>
              </w:rPr>
              <w:t>A fixed count measures corpus size rather than attack strength. §5.4 sweeps $\rho \in \{0.1\%, \dots, 2\%\}$; readers comparing against absolute counts must convert.</w:t>
            </w:r>
          </w:p>
        </w:tc>
      </w:tr>
      <w:tr>
        <w:tc>
          <w:tcPr>
            <w:tcW w:type="dxa" w:w="3213"/>
          </w:tcPr>
          <w:p>
            <w:pPr>
              <w:spacing w:line="240" w:lineRule="auto" w:after="0"/>
            </w:pPr>
            <w:r>
              <w:rPr>
                <w:rFonts w:ascii="Times New Roman" w:hAnsi="Times New Roman" w:eastAsia="SimSun"/>
                <w:sz w:val="19"/>
              </w:rPr>
              <w:t>5</w:t>
            </w:r>
          </w:p>
        </w:tc>
        <w:tc>
          <w:tcPr>
            <w:tcW w:type="dxa" w:w="3213"/>
          </w:tcPr>
          <w:p>
            <w:pPr>
              <w:spacing w:line="240" w:lineRule="auto" w:after="0"/>
            </w:pPr>
            <w:r>
              <w:rPr>
                <w:rFonts w:ascii="Times New Roman" w:hAnsi="Times New Roman" w:eastAsia="SimSun"/>
                <w:b/>
                <w:sz w:val="19"/>
              </w:rPr>
              <w:t>Nine retrieval back-ends, and the scale check changed the conclusion</w:t>
            </w:r>
          </w:p>
        </w:tc>
        <w:tc>
          <w:tcPr>
            <w:tcW w:type="dxa" w:w="3213"/>
          </w:tcPr>
          <w:p>
            <w:pPr>
              <w:spacing w:line="240" w:lineRule="auto" w:after="0"/>
            </w:pPr>
            <w:r>
              <w:rPr>
                <w:rFonts w:ascii="Times New Roman" w:hAnsi="Times New Roman" w:eastAsia="SimSun"/>
                <w:sz w:val="19"/>
              </w:rPr>
              <w:t>GTE-base → GTE-large moves susceptibility from 0.0625 to 0.5000 within one family and recipe, so a single-encoder robustness claim reports an unmeasured checkpoint property (§5.5). Contriever is not swept at large scale and multilingual or instruction-tuned embedders are not tested.</w:t>
            </w:r>
          </w:p>
        </w:tc>
      </w:tr>
      <w:tr>
        <w:tc>
          <w:tcPr>
            <w:tcW w:type="dxa" w:w="3213"/>
          </w:tcPr>
          <w:p>
            <w:pPr>
              <w:spacing w:line="240" w:lineRule="auto" w:after="0"/>
            </w:pPr>
            <w:r>
              <w:rPr>
                <w:rFonts w:ascii="Times New Roman" w:hAnsi="Times New Roman" w:eastAsia="SimSun"/>
                <w:sz w:val="19"/>
              </w:rPr>
              <w:t>6</w:t>
            </w:r>
          </w:p>
        </w:tc>
        <w:tc>
          <w:tcPr>
            <w:tcW w:type="dxa" w:w="3213"/>
          </w:tcPr>
          <w:p>
            <w:pPr>
              <w:spacing w:line="240" w:lineRule="auto" w:after="0"/>
            </w:pPr>
            <w:r>
              <w:rPr>
                <w:rFonts w:ascii="Times New Roman" w:hAnsi="Times New Roman" w:eastAsia="SimSun"/>
                <w:b/>
                <w:sz w:val="19"/>
              </w:rPr>
              <w:t>The generation-stage evaluation is multi-generator and multi-probe, and the probes disagree</w:t>
            </w:r>
          </w:p>
        </w:tc>
        <w:tc>
          <w:tcPr>
            <w:tcW w:type="dxa" w:w="3213"/>
          </w:tcPr>
          <w:p>
            <w:pPr>
              <w:spacing w:line="240" w:lineRule="auto" w:after="0"/>
            </w:pPr>
            <w:r>
              <w:rPr>
                <w:rFonts w:ascii="Times New Roman" w:hAnsi="Times New Roman" w:eastAsia="SimSun"/>
                <w:sz w:val="19"/>
              </w:rPr>
              <w:t>Three sub-limits, each with a measurement behind it: retrieval conditions are fixed to one backbone; the free-form probe commits to a position in only 15.6\% (controlled) and 1.0\% (BBQ) of cases, which is why the forced-choice probe is primary; and the effect is generator-dependent. Appendix D.6 also records the inverted-context negative control and a corrected attribution metric.</w:t>
            </w:r>
          </w:p>
        </w:tc>
      </w:tr>
      <w:tr>
        <w:tc>
          <w:tcPr>
            <w:tcW w:type="dxa" w:w="3213"/>
          </w:tcPr>
          <w:p>
            <w:pPr>
              <w:spacing w:line="240" w:lineRule="auto" w:after="0"/>
            </w:pPr>
            <w:r>
              <w:rPr>
                <w:rFonts w:ascii="Times New Roman" w:hAnsi="Times New Roman" w:eastAsia="SimSun"/>
                <w:sz w:val="19"/>
              </w:rPr>
              <w:t>7</w:t>
            </w:r>
          </w:p>
        </w:tc>
        <w:tc>
          <w:tcPr>
            <w:tcW w:type="dxa" w:w="3213"/>
          </w:tcPr>
          <w:p>
            <w:pPr>
              <w:spacing w:line="240" w:lineRule="auto" w:after="0"/>
            </w:pPr>
            <w:r>
              <w:rPr>
                <w:rFonts w:ascii="Times New Roman" w:hAnsi="Times New Roman" w:eastAsia="SimSun"/>
                <w:b/>
                <w:sz w:val="19"/>
              </w:rPr>
              <w:t>Binary groups: $\vert\mathcal{G}\vert = 2$ throughout</w:t>
            </w:r>
          </w:p>
        </w:tc>
        <w:tc>
          <w:tcPr>
            <w:tcW w:type="dxa" w:w="3213"/>
          </w:tcPr>
          <w:p>
            <w:pPr>
              <w:spacing w:line="240" w:lineRule="auto" w:after="0"/>
            </w:pPr>
            <w:r>
              <w:rPr>
                <w:rFonts w:ascii="Times New Roman" w:hAnsi="Times New Roman" w:eastAsia="SimSun"/>
                <w:sz w:val="19"/>
              </w:rPr>
              <w:t>Extension to $\vert\mathcal{G}\vert &gt; 2$ is mechanical for R1 and R2 but is not evaluated here. BBQ's race/ethnicity category is also markedly imbalanced in our build (960 vs 88 passages).</w:t>
            </w:r>
          </w:p>
        </w:tc>
      </w:tr>
    </w:tbl>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§5.6.</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we report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 xml:space="preserve"> throughout.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Points 1–4 are prerequisites for a fairness statistic to be reported at all under adversarial conditions, and points 5–9 for a robustness claim to be credited.</w:t>
      </w:r>
    </w:p>
    <w:p>
      <w:pPr>
        <w:shd w:val="clear" w:color="auto" w:fill="DCE6F1"/>
        <w:spacing w:before="200" w:after="80"/>
      </w:pPr>
      <w:r>
        <w:rPr>
          <w:rFonts w:ascii="Times New Roman" w:hAnsi="Times New Roman" w:eastAsia="Microsoft YaHei"/>
          <w:b/>
          <w:sz w:val="26"/>
        </w:rPr>
        <w:t>8.1 When the aggregate is informative</w:t>
      </w:r>
    </w:p>
    <w:p>
      <w:r>
        <w:rPr>
          <w:rFonts w:ascii="Times New Roman" w:hAnsi="Times New Roman" w:eastAsia="SimSun"/>
          <w:sz w:val="22"/>
        </w:rPr>
        <w:t>The aggregate statistics this paper examines are informative only where the</w:t>
      </w:r>
    </w:p>
    <w:p>
      <w:r>
        <w:rPr>
          <w:rFonts w:ascii="Times New Roman" w:hAnsi="Times New Roman" w:eastAsia="SimSun"/>
          <w:sz w:val="22"/>
        </w:rPr>
        <w:t>composition they summarise is itself informative, and §5.9 measured which</w:t>
      </w:r>
    </w:p>
    <w:p>
      <w:r>
        <w:rPr>
          <w:rFonts w:ascii="Times New Roman" w:hAnsi="Times New Roman" w:eastAsia="SimSun"/>
          <w:sz w:val="22"/>
        </w:rPr>
        <w:t>back-ends that is. The conditions are restated here in the form a practitioner</w:t>
      </w:r>
    </w:p>
    <w:p>
      <w:r>
        <w:rPr>
          <w:rFonts w:ascii="Times New Roman" w:hAnsi="Times New Roman" w:eastAsia="SimSun"/>
          <w:sz w:val="22"/>
        </w:rPr>
        <w:t>needs in order to interpret a null result.</w:t>
      </w:r>
    </w:p>
    <w:p>
      <w:r>
        <w:rPr>
          <w:rFonts w:ascii="Times New Roman" w:hAnsi="Times New Roman" w:eastAsia="SimSun"/>
          <w:b/>
          <w:sz w:val="22"/>
        </w:rPr>
        <w:t>The composition statistic is flat on the lexical retriever, and moves elsewhere.</w:t>
      </w:r>
      <w:r>
        <w:rPr>
          <w:rFonts w:ascii="Times New Roman" w:hAnsi="Times New Roman" w:eastAsia="SimSun"/>
          <w:sz w:val="22"/>
        </w:rPr>
        <w:t xml:space="preserve"> Undefended</w:t>
      </w:r>
    </w:p>
    <w:p>
      <w:r>
        <w:rPr>
          <w:rFonts w:ascii="Times New Roman" w:hAnsi="Times New Roman" w:eastAsia="SimSun"/>
          <w:sz w:val="22"/>
        </w:rPr>
        <w:t>composition drift on the controlled corpus, at the relocation levels where the label is partial: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back-end</w:t>
            </w:r>
          </w:p>
        </w:tc>
        <w:tc>
          <w:tcPr>
            <w:tcW w:type="dxa" w:w="3213"/>
            <w:shd w:val="clear" w:color="auto" w:fill="DCE6F1"/>
          </w:tcPr>
          <w:p>
            <w:pPr>
              <w:spacing w:line="240" w:lineRule="auto" w:after="0"/>
            </w:pPr>
            <w:r>
              <w:rPr>
                <w:rFonts w:ascii="Times New Roman" w:hAnsi="Times New Roman" w:eastAsia="SimSun"/>
                <w:b/>
                <w:sz w:val="19"/>
              </w:rPr>
              <w:t>attack</w:t>
            </w:r>
          </w:p>
        </w:tc>
        <w:tc>
          <w:tcPr>
            <w:tcW w:type="dxa" w:w="3213"/>
            <w:shd w:val="clear" w:color="auto" w:fill="DCE6F1"/>
          </w:tcPr>
          <w:p>
            <w:pPr>
              <w:spacing w:line="240" w:lineRule="auto" w:after="0"/>
            </w:pPr>
            <w:r>
              <w:rPr>
                <w:rFonts w:ascii="Times New Roman" w:hAnsi="Times New Roman" w:eastAsia="SimSun"/>
                <w:b/>
                <w:sz w:val="19"/>
              </w:rPr>
              <w:t>composition drift at partial relocation</w:t>
            </w:r>
          </w:p>
        </w:tc>
      </w:tr>
      <w:tr>
        <w:tc>
          <w:tcPr>
            <w:tcW w:type="dxa" w:w="3213"/>
          </w:tcPr>
          <w:p>
            <w:pPr>
              <w:spacing w:line="240" w:lineRule="auto" w:after="0"/>
            </w:pPr>
            <w:r>
              <w:rPr>
                <w:rFonts w:ascii="Consolas" w:hAnsi="Consolas" w:eastAsia="Consolas"/>
                <w:sz w:val="18"/>
              </w:rPr>
              <w:t>st</w:t>
            </w:r>
            <w:r>
              <w:rPr>
                <w:rFonts w:ascii="Times New Roman" w:hAnsi="Times New Roman" w:eastAsia="SimSun"/>
                <w:sz w:val="19"/>
              </w:rPr>
              <w:t xml:space="preserve"> (GTE-base)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every partial level</w:t>
            </w:r>
          </w:p>
        </w:tc>
      </w:tr>
      <w:tr>
        <w:tc>
          <w:tcPr>
            <w:tcW w:type="dxa" w:w="3213"/>
          </w:tcPr>
          <w:p>
            <w:pPr>
              <w:spacing w:line="240" w:lineRule="auto" w:after="0"/>
            </w:pPr>
            <w:r>
              <w:rPr>
                <w:rFonts w:ascii="Times New Roman" w:hAnsi="Times New Roman" w:eastAsia="SimSun"/>
                <w:sz w:val="19"/>
              </w:rPr>
              <w:t>dense</w:t>
            </w:r>
          </w:p>
        </w:tc>
        <w:tc>
          <w:tcPr>
            <w:tcW w:type="dxa" w:w="3213"/>
          </w:tcPr>
          <w:p>
            <w:pPr>
              <w:spacing w:line="240" w:lineRule="auto" w:after="0"/>
            </w:pPr>
            <w:r>
              <w:rPr>
                <w:rFonts w:ascii="Times New Roman" w:hAnsi="Times New Roman" w:eastAsia="SimSun"/>
                <w:sz w:val="19"/>
              </w:rPr>
              <w:t>lexical</w:t>
            </w:r>
          </w:p>
        </w:tc>
        <w:tc>
          <w:tcPr>
            <w:tcW w:type="dxa" w:w="3213"/>
          </w:tcPr>
          <w:p>
            <w:pPr>
              <w:spacing w:line="240" w:lineRule="auto" w:after="0"/>
            </w:pPr>
            <w:r>
              <w:rPr>
                <w:rFonts w:ascii="Times New Roman" w:hAnsi="Times New Roman" w:eastAsia="SimSun"/>
                <w:sz w:val="19"/>
              </w:rPr>
              <w:t>0.0000 at the lowest level, rising to 0.1750 at full relocation</w:t>
            </w:r>
          </w:p>
        </w:tc>
      </w:tr>
      <w:tr>
        <w:tc>
          <w:tcPr>
            <w:tcW w:type="dxa" w:w="3213"/>
          </w:tcPr>
          <w:p>
            <w:pPr>
              <w:spacing w:line="240" w:lineRule="auto" w:after="0"/>
            </w:pPr>
            <w:r>
              <w:rPr>
                <w:rFonts w:ascii="Times New Roman" w:hAnsi="Times New Roman" w:eastAsia="SimSun"/>
                <w:sz w:val="19"/>
              </w:rPr>
              <w:t>BM25</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low relocation, rising to 0.2280 at full relocation</w:t>
            </w:r>
          </w:p>
        </w:tc>
      </w:tr>
      <w:tr>
        <w:tc>
          <w:tcPr>
            <w:tcW w:type="dxa" w:w="3213"/>
          </w:tcPr>
          <w:p>
            <w:pPr>
              <w:spacing w:line="240" w:lineRule="auto" w:after="0"/>
            </w:pPr>
            <w:r>
              <w:rPr>
                <w:rFonts w:ascii="Times New Roman" w:hAnsi="Times New Roman" w:eastAsia="SimSun"/>
                <w:sz w:val="19"/>
              </w:rPr>
              <w:t>SPLADE</w:t>
            </w:r>
          </w:p>
        </w:tc>
        <w:tc>
          <w:tcPr>
            <w:tcW w:type="dxa" w:w="3213"/>
          </w:tcPr>
          <w:p>
            <w:pPr>
              <w:spacing w:line="240" w:lineRule="auto" w:after="0"/>
            </w:pPr>
            <w:r>
              <w:rPr>
                <w:rFonts w:ascii="Times New Roman" w:hAnsi="Times New Roman" w:eastAsia="SimSun"/>
                <w:sz w:val="19"/>
              </w:rPr>
              <w:t>lexical, projected</w:t>
            </w:r>
          </w:p>
        </w:tc>
        <w:tc>
          <w:tcPr>
            <w:tcW w:type="dxa" w:w="3213"/>
          </w:tcPr>
          <w:p>
            <w:pPr>
              <w:spacing w:line="240" w:lineRule="auto" w:after="0"/>
            </w:pPr>
            <w:r>
              <w:rPr>
                <w:rFonts w:ascii="Times New Roman" w:hAnsi="Times New Roman" w:eastAsia="SimSun"/>
                <w:sz w:val="19"/>
              </w:rPr>
              <w:t>0.0000 at zero relocation, 0.2000-0.4000 through the middle, 0.2250 at full relocation</w:t>
            </w:r>
          </w:p>
        </w:tc>
      </w:tr>
    </w:tbl>
    <w:p/>
    <w:p>
      <w:r>
        <w:rPr>
          <w:rFonts w:ascii="Times New Roman" w:hAnsi="Times New Roman" w:eastAsia="SimSun"/>
          <w:sz w:val="22"/>
        </w:rPr>
        <w:t xml:space="preserve">On </w:t>
      </w:r>
      <w:r>
        <w:rPr>
          <w:rFonts w:ascii="Consolas" w:hAnsi="Consolas" w:eastAsia="Consolas"/>
          <w:sz w:val="21"/>
        </w:rPr>
        <w:t>st</w:t>
      </w:r>
      <w:r>
        <w:rPr>
          <w:rFonts w:ascii="Times New Roman" w:hAnsi="Times New Roman" w:eastAsia="SimSun"/>
          <w:sz w:val="22"/>
        </w:rPr>
        <w:t xml:space="preserve"> the injected set is compositionally balanced and stays so however much of it is</w:t>
      </w:r>
    </w:p>
    <w:p>
      <w:r>
        <w:rPr>
          <w:rFonts w:ascii="Times New Roman" w:hAnsi="Times New Roman" w:eastAsia="SimSun"/>
          <w:sz w:val="22"/>
        </w:rPr>
        <w:t>retrieved, so the aggregate reads clean while the evidence moves — the regime the framework</w:t>
      </w:r>
    </w:p>
    <w:p>
      <w:r>
        <w:rPr>
          <w:rFonts w:ascii="Times New Roman" w:hAnsi="Times New Roman" w:eastAsia="SimSun"/>
          <w:sz w:val="22"/>
        </w:rPr>
        <w:t>describes. On the other back-ends the retrieved set relocates composition as well, and the</w:t>
      </w:r>
    </w:p>
    <w:p>
      <w:r>
        <w:rPr>
          <w:rFonts w:ascii="Times New Roman" w:hAnsi="Times New Roman" w:eastAsia="SimSun"/>
          <w:sz w:val="22"/>
        </w:rPr>
        <w:t>aggregate moves with it, reaching 0.1750 on dense and 0.2 or above on the projected</w:t>
      </w:r>
    </w:p>
    <w:p>
      <w:r>
        <w:rPr>
          <w:rFonts w:ascii="Times New Roman" w:hAnsi="Times New Roman" w:eastAsia="SimSun"/>
          <w:sz w:val="22"/>
        </w:rPr>
        <w:t>lexical back-ends. The dependence is not strictly monotone in the relocated fraction,</w:t>
      </w:r>
    </w:p>
    <w:p>
      <w:r>
        <w:rPr>
          <w:rFonts w:ascii="Times New Roman" w:hAnsi="Times New Roman" w:eastAsia="SimSun"/>
          <w:sz w:val="22"/>
        </w:rPr>
        <w:t>which is itself a reason to measure the regime rather than assume it. The balanced pairwise construction is therefore a sufficient condition</w:t>
      </w:r>
    </w:p>
    <w:p>
      <w:r>
        <w:rPr>
          <w:rFonts w:ascii="Times New Roman" w:hAnsi="Times New Roman" w:eastAsia="SimSun"/>
          <w:sz w:val="22"/>
        </w:rPr>
        <w:t>for the blindness and not a universal one, and the practical reading is: check which regime your</w:t>
      </w:r>
    </w:p>
    <w:p>
      <w:r>
        <w:rPr>
          <w:rFonts w:ascii="Times New Roman" w:hAnsi="Times New Roman" w:eastAsia="SimSun"/>
          <w:sz w:val="22"/>
        </w:rPr>
        <w:t>retriever is in before treating a null aggregate as evidence of robustness.</w:t>
      </w:r>
    </w:p>
    <w:p>
      <w:r>
        <w:rPr>
          <w:rFonts w:ascii="Times New Roman" w:hAnsi="Times New Roman" w:eastAsia="SimSun"/>
          <w:b/>
          <w:sz w:val="22"/>
        </w:rPr>
        <w:t>Subspace projection removes the passage text from the ranking decision.</w:t>
      </w:r>
      <w:r>
        <w:rPr>
          <w:rFonts w:ascii="Times New Roman" w:hAnsi="Times New Roman" w:eastAsia="SimSun"/>
          <w:sz w:val="22"/>
        </w:rPr>
        <w:t xml:space="preserve"> Under</w:t>
      </w:r>
    </w:p>
    <w:p>
      <w:r>
        <w:rPr>
          <w:rFonts w:ascii="Consolas" w:hAnsi="Consolas" w:eastAsia="Consolas"/>
          <w:sz w:val="21"/>
        </w:rPr>
        <w:t>template_plus_projection</w:t>
      </w:r>
      <w:r>
        <w:rPr>
          <w:rFonts w:ascii="Times New Roman" w:hAnsi="Times New Roman" w:eastAsia="SimSun"/>
          <w:sz w:val="22"/>
        </w:rPr>
        <w:t xml:space="preserve"> the relocated fraction was 1.000 for all 192 queries at every</w:t>
      </w:r>
    </w:p>
    <w:p>
      <w:r>
        <w:rPr>
          <w:rFonts w:ascii="Times New Roman" w:hAnsi="Times New Roman" w:eastAsia="SimSun"/>
          <w:sz w:val="22"/>
        </w:rPr>
        <w:t>alignment setting we tried. Projection sets the ranking from document and query vectors, so the</w:t>
      </w:r>
    </w:p>
    <w:p>
      <w:r>
        <w:rPr>
          <w:rFonts w:ascii="Times New Roman" w:hAnsi="Times New Roman" w:eastAsia="SimSun"/>
          <w:sz w:val="22"/>
        </w:rPr>
        <w:t>composition the composition statistics observe is fixed by the projection rather than by the</w:t>
      </w:r>
    </w:p>
    <w:p>
      <w:r>
        <w:rPr>
          <w:rFonts w:ascii="Times New Roman" w:hAnsi="Times New Roman" w:eastAsia="SimSun"/>
          <w:sz w:val="22"/>
        </w:rPr>
        <w:t>passages. This bounds what any text-side defence or perturbation can achieve against that</w:t>
      </w:r>
    </w:p>
    <w:p>
      <w:r>
        <w:rPr>
          <w:rFonts w:ascii="Times New Roman" w:hAnsi="Times New Roman" w:eastAsia="SimSun"/>
          <w:sz w:val="22"/>
        </w:rPr>
        <w:t>back-end, and it is the mechanism behind the saturation reported in §5.8.</w:t>
      </w:r>
    </w:p>
    <w:p>
      <w:r>
        <w:rPr>
          <w:rFonts w:ascii="Times New Roman" w:hAnsi="Times New Roman" w:eastAsia="SimSun"/>
          <w:b/>
          <w:sz w:val="22"/>
        </w:rPr>
        <w:t>The per-group statistic is a batch average, and its power is bounded by batch count.</w:t>
      </w:r>
      <w:r>
        <w:rPr>
          <w:rFonts w:ascii="Times New Roman" w:hAnsi="Times New Roman" w:eastAsia="SimSun"/>
          <w:sz w:val="22"/>
        </w:rPr>
        <w:t xml:space="preserve"> Every</w:t>
      </w:r>
    </w:p>
    <w:p>
      <w:r>
        <w:rPr>
          <w:rFonts w:ascii="Times New Roman" w:hAnsi="Times New Roman" w:eastAsia="SimSun"/>
          <w:sz w:val="22"/>
        </w:rPr>
        <w:t>group-level rate in this paper averages binary stance decisions over the queries in a stratum. A</w:t>
      </w:r>
    </w:p>
    <w:p>
      <w:r>
        <w:rPr>
          <w:rFonts w:ascii="Times New Roman" w:hAnsi="Times New Roman" w:eastAsia="SimSun"/>
          <w:sz w:val="22"/>
        </w:rPr>
        <w:t>single query contributes one draw, so the diagnostic is not a per-query test and should not be</w:t>
      </w:r>
    </w:p>
    <w:p>
      <w:r>
        <w:rPr>
          <w:rFonts w:ascii="Times New Roman" w:hAnsi="Times New Roman" w:eastAsia="SimSun"/>
          <w:sz w:val="22"/>
        </w:rPr>
        <w:t>evaluated as one; we report it per stratum for this reason. The consequence is a power bound that</w:t>
      </w:r>
    </w:p>
    <w:p>
      <w:r>
        <w:rPr>
          <w:rFonts w:ascii="Times New Roman" w:hAnsi="Times New Roman" w:eastAsia="SimSun"/>
          <w:sz w:val="22"/>
        </w:rPr>
        <w:t>does not yield to more queries of the same kind: on a corpus whose queries are instantiations of a</w:t>
      </w:r>
    </w:p>
    <w:p>
      <w:r>
        <w:rPr>
          <w:rFonts w:ascii="Times New Roman" w:hAnsi="Times New Roman" w:eastAsia="SimSun"/>
          <w:sz w:val="22"/>
        </w:rPr>
        <w:t>small template set, raising the query count repeats the same texts, and we measured this rather</w:t>
      </w:r>
    </w:p>
    <w:p>
      <w:r>
        <w:rPr>
          <w:rFonts w:ascii="Times New Roman" w:hAnsi="Times New Roman" w:eastAsia="SimSun"/>
          <w:sz w:val="22"/>
        </w:rPr>
        <w:t>than assuming it — a regime that held 36 of 192 queries held 0 of 1,536 once the count was raised.</w:t>
      </w:r>
    </w:p>
    <w:p>
      <w:r>
        <w:rPr>
          <w:rFonts w:ascii="Times New Roman" w:hAnsi="Times New Roman" w:eastAsia="SimSun"/>
          <w:sz w:val="22"/>
        </w:rPr>
        <w:t>Obtaining more power requires more independent strata or repeated audits over time, not a larger</w:t>
      </w:r>
    </w:p>
    <w:p>
      <w:r>
        <w:rPr>
          <w:rFonts w:ascii="Times New Roman" w:hAnsi="Times New Roman" w:eastAsia="SimSun"/>
          <w:sz w:val="22"/>
        </w:rPr>
        <w:t>sample of the same queries.</w:t>
      </w:r>
    </w:p>
    <w:p>
      <w:r>
        <w:rPr>
          <w:rFonts w:ascii="Times New Roman" w:hAnsi="Times New Roman" w:eastAsia="SimSun"/>
          <w:b/>
          <w:sz w:val="22"/>
        </w:rPr>
        <w:t>What this means for reporting.</w:t>
      </w:r>
      <w:r>
        <w:rPr>
          <w:rFonts w:ascii="Times New Roman" w:hAnsi="Times New Roman" w:eastAsia="SimSun"/>
          <w:sz w:val="22"/>
        </w:rPr>
        <w:t xml:space="preserve"> The framework's three questions (§3.4) and the protocol above</w:t>
      </w:r>
    </w:p>
    <w:p>
      <w:r>
        <w:rPr>
          <w:rFonts w:ascii="Times New Roman" w:hAnsi="Times New Roman" w:eastAsia="SimSun"/>
          <w:sz w:val="22"/>
        </w:rPr>
        <w:t>identify blindness in advance, but they identify it for a stated retriever and threat model. A</w:t>
      </w:r>
    </w:p>
    <w:p>
      <w:r>
        <w:rPr>
          <w:rFonts w:ascii="Times New Roman" w:hAnsi="Times New Roman" w:eastAsia="SimSun"/>
          <w:sz w:val="22"/>
        </w:rPr>
        <w:t>robustness claim should say which of these regimes it was evaluated in, because a null result in</w:t>
      </w:r>
    </w:p>
    <w:p>
      <w:r>
        <w:rPr>
          <w:rFonts w:ascii="Times New Roman" w:hAnsi="Times New Roman" w:eastAsia="SimSun"/>
          <w:sz w:val="22"/>
        </w:rPr>
        <w:t>the first regime is informative and a null result in the others is not.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adversarially invariant: an attacker who balances what they count, preserves what they reference, or relocates all groups together leaves the statistic at its clean value while controlling the evidence. The invariance has one cause, it is predictable from the form of the statistic rather than measured after the fact, and the defense failure that follows is a consequence of it rather than a separate phenomenon.</w:t>
      </w:r>
    </w:p>
    <w:p>
      <w:r>
        <w:rPr>
          <w:rFonts w:ascii="Times New Roman" w:hAnsi="Times New Roman" w:eastAsia="SimSun"/>
          <w:sz w:val="22"/>
        </w:rPr>
        <w:t xml:space="preserve">The two dimensions we separate make the mechanism visible. </w:t>
      </w:r>
      <w:r>
        <w:rPr>
          <w:rFonts w:ascii="Times New Roman" w:hAnsi="Times New Roman" w:eastAsia="SimSun"/>
          <w:b/>
          <w:sz w:val="22"/>
        </w:rPr>
        <w:t>R1</w:t>
      </w:r>
      <w:r>
        <w:rPr>
          <w:rFonts w:ascii="Times New Roman" w:hAnsi="Times New Roman" w:eastAsia="SimSun"/>
          <w:sz w:val="22"/>
        </w:rPr>
        <w:t xml:space="preserve"> is group composition; </w:t>
      </w:r>
      <w:r>
        <w:rPr>
          <w:rFonts w:ascii="Times New Roman" w:hAnsi="Times New Roman" w:eastAsia="SimSun"/>
          <w:b/>
          <w:sz w:val="22"/>
        </w:rPr>
        <w:t>R2</w:t>
      </w:r>
      <w:r>
        <w:rPr>
          <w:rFonts w:ascii="Times New Roman" w:hAnsi="Times New Roman" w:eastAsia="SimSun"/>
          <w:sz w:val="22"/>
        </w:rPr>
        <w:t xml:space="preserve"> is within-group stance. Pairwise poisoning is balanced in R1 by construction, because the injected passages are matched pairs drawn from the legitimate template inventory, so every composition statistic reads clean while the stance of the evidence is skewed. The natural repair — move to stance and keep the same arithmetic, measuring the gap between groups — fails for the same structural reason: an absolute difference is dominated by the corpus's pre-existing asymmetry and is blind to an attack that relocates both groups. The diagnostic is the per-group shift, and it is large and consistent where the aggregate is not: the suppressed group's stance moves by −0.13 to −0.18 and the favoured group's by +0.13 across four generators spanning three model families at $p \le 0.0035$, while the absolute cross-group gap moves by less than 0.002.</w:t>
      </w:r>
    </w:p>
    <w:p>
      <w:r>
        <w:rPr>
          <w:rFonts w:ascii="Times New Roman" w:hAnsi="Times New Roman" w:eastAsia="SimSun"/>
          <w:sz w:val="22"/>
        </w:rPr>
        <w:t>The consequence for the defense class is a ceiling rather than a null. The unconstrained baseline already admits adversarial passages on every query where it can, so no reduction is available even in principle; the per-query difference is identically zero and the equivalence bound is exactly ±0.0000. The constraint does change which passages are selected — it moves the R2 stance gap substantially — and that is precisely the point: selection changes, and not one adversarial passage is displaced. Extending the constraint to a second dimension improves the statistic it measures without changing adversarial inclusion. The problem is one of detection, not of optimisation, and detection requires evidence about individual passages rather than about the set they belong to.</w:t>
      </w:r>
    </w:p>
    <w:p>
      <w:r>
        <w:rPr>
          <w:rFonts w:ascii="Times New Roman" w:hAnsi="Times New Roman" w:eastAsia="SimSun"/>
          <w:sz w:val="22"/>
        </w:rPr>
        <w:t xml:space="preserve">Under a defense-aware attacker the picture sharpens rather than softens. Across six retrieval back-ends the static advantage of the strongest defense is </w:t>
      </w:r>
      <w:r>
        <w:rPr>
          <w:rFonts w:ascii="Times New Roman" w:hAnsi="Times New Roman" w:eastAsia="SimSun"/>
          <w:i/>
          <w:sz w:val="22"/>
        </w:rPr>
        <w:t>largest</w:t>
      </w:r>
      <w:r>
        <w:rPr>
          <w:rFonts w:ascii="Times New Roman" w:hAnsi="Times New Roman" w:eastAsia="SimSun"/>
          <w:sz w:val="22"/>
        </w:rPr>
        <w:t xml:space="preserve"> on the pretrained encoders the compared literature uses — four of the six begin at exactly 0.000 adversarial inclusion — and no defense retains measurable benefit beyond one perturbation step on any of them, while the injected passages stay over 94% semantically intact. A defense selected on its static advantage is therefore defeated comprehensively, and the static numbers that would select it are most optimistic exactly where that literature looks.</w:t>
      </w:r>
    </w:p>
    <w:p>
      <w:r>
        <w:rPr>
          <w:rFonts w:ascii="Times New Roman" w:hAnsi="Times New Roman" w:eastAsia="SimSun"/>
          <w:sz w:val="22"/>
        </w:rPr>
        <w:t xml:space="preserve">Two things follow, and they are what this paper contributes. The first is a </w:t>
      </w:r>
      <w:r>
        <w:rPr>
          <w:rFonts w:ascii="Times New Roman" w:hAnsi="Times New Roman" w:eastAsia="SimSun"/>
          <w:b/>
          <w:sz w:val="22"/>
        </w:rPr>
        <w:t>test</w:t>
      </w:r>
      <w:r>
        <w:rPr>
          <w:rFonts w:ascii="Times New Roman" w:hAnsi="Times New Roman" w:eastAsia="SimSun"/>
          <w:sz w:val="22"/>
        </w:rPr>
        <w:t xml:space="preserve">: three questions that predict, before any attack is built, whether a candidate statistic is invariant to an adversary who balances the quantity it counts, anchors it to a reference the attack preserves, or moves all groups together. The second is a </w:t>
      </w:r>
      <w:r>
        <w:rPr>
          <w:rFonts w:ascii="Times New Roman" w:hAnsi="Times New Roman" w:eastAsia="SimSun"/>
          <w:b/>
          <w:sz w:val="22"/>
        </w:rPr>
        <w:t>standard</w:t>
      </w:r>
      <w:r>
        <w:rPr>
          <w:rFonts w:ascii="Times New Roman" w:hAnsi="Times New Roman" w:eastAsia="SimSun"/>
          <w:sz w:val="22"/>
        </w:rPr>
        <w:t>: the reporting requirements a robustness or fairness claim must meet to be interpretable, set out in §8 and §5.8.1 — per-group shifts rather than cross-group differences, injection as a rate rather than a count, the encoder reported as a factor, equivalence bounds for null claims, the threat model stated, adversarial inclusion reported as a function of attacker strength, and a penalty treated as the attacker's constraint when it is computable from public information. Applied together these change what a result has to contain; they do not require a new defense, and every one of them is cheap.</w:t>
      </w:r>
    </w:p>
    <w:p>
      <w:r>
        <w:rPr>
          <w:rFonts w:ascii="Times New Roman" w:hAnsi="Times New Roman" w:eastAsia="SimSun"/>
          <w:sz w:val="22"/>
        </w:rPr>
        <w:t>The open problem is the one the framework itself exposes. A per-group report is more sensitive than an aggregate, and a more sensitive instrument still has to be shown to measure the right quantity. The individual-level signal we report in §7 is a candidate in that direction, and the test that would settle it is stated with it: it must survive on naturally written text. Establishing which cues about individual passages do survive — and why — is the measurement problem this work leaves open.</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Note for double-anonymized submission.</w:t>
      </w:r>
      <w:r>
        <w:rPr>
          <w:rFonts w:ascii="Times New Roman" w:hAnsi="Times New Roman" w:eastAsia="SimSun"/>
          <w:sz w:val="22"/>
        </w:rPr>
        <w:t xml:space="preserve"> The repository URL above carries the author's username, and the submitting author's email shares that username. For any venue using double-anonymized review, submit this section with the URL replaced by </w:t>
      </w:r>
      <w:r>
        <w:rPr>
          <w:rFonts w:ascii="Consolas" w:hAnsi="Consolas" w:eastAsia="Consolas"/>
          <w:sz w:val="21"/>
        </w:rPr>
        <w:t>[anonymized repository]</w:t>
      </w:r>
      <w:r>
        <w:rPr>
          <w:rFonts w:ascii="Times New Roman" w:hAnsi="Times New Roman" w:eastAsia="SimSun"/>
          <w:sz w:val="22"/>
        </w:rPr>
        <w:t>, keep the software-availability details, and restore the link in the camera-ready version. Nothing else in the manuscript identifies the author.</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b/>
          <w:sz w:val="22"/>
        </w:rPr>
        <w:t>Table C6.</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b/>
          <w:sz w:val="22"/>
        </w:rPr>
        <w:t>Table C7.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b/>
          <w:sz w:val="22"/>
        </w:rPr>
        <w:t>Table C8.</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b/>
          <w:sz w:val="22"/>
        </w:rPr>
        <w:t>Table C9.</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pPr>
        <w:spacing w:before="240" w:after="120"/>
      </w:pPr>
      <w:r>
        <w:rPr>
          <w:rFonts w:ascii="Times New Roman" w:hAnsi="Times New Roman" w:eastAsia="Microsoft YaHei"/>
          <w:b/>
          <w:sz w:val="28"/>
        </w:rPr>
        <w:t>Appendix D. Limitations in full</w:t>
      </w:r>
    </w:p>
    <w:p>
      <w:r>
        <w:rPr>
          <w:rFonts w:ascii="Times New Roman" w:hAnsi="Times New Roman" w:eastAsia="SimSun"/>
          <w:sz w:val="22"/>
        </w:rPr>
        <w:t>The body states each limitation in one line and what it costs; this appendix states them in full, with the measurements behind each. The numbering matches the body table.</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Appendix E. The record of changes to our own measurements</w:t>
      </w:r>
    </w:p>
    <w:p>
      <w:r>
        <w:rPr>
          <w:rFonts w:ascii="Times New Roman" w:hAnsi="Times New Roman" w:eastAsia="SimSun"/>
          <w:sz w:val="22"/>
        </w:rPr>
        <w:t>The body reports the measurements as they stand. This appendix records where earlier</w:t>
      </w:r>
    </w:p>
    <w:p>
      <w:r>
        <w:rPr>
          <w:rFonts w:ascii="Times New Roman" w:hAnsi="Times New Roman" w:eastAsia="SimSun"/>
          <w:sz w:val="22"/>
        </w:rPr>
        <w:t>versions of this work reported something different, so that a reader who has seen an</w:t>
      </w:r>
    </w:p>
    <w:p>
      <w:r>
        <w:rPr>
          <w:rFonts w:ascii="Times New Roman" w:hAnsi="Times New Roman" w:eastAsia="SimSun"/>
          <w:sz w:val="22"/>
        </w:rPr>
        <w:t>earlier draft can see exactly what changed and why. Every number quoted here is the</w:t>
      </w:r>
    </w:p>
    <w:p>
      <w:r>
        <w:rPr>
          <w:rFonts w:ascii="Times New Roman" w:hAnsi="Times New Roman" w:eastAsia="SimSun"/>
          <w:sz w:val="22"/>
        </w:rPr>
        <w:t>superseded value, and the value that replaced it is the one used in the body.</w:t>
      </w:r>
    </w:p>
    <w:p>
      <w:pPr>
        <w:pStyle w:val="ListNumber"/>
        <w:spacing w:line="360" w:lineRule="auto"/>
      </w:pPr>
      <w:r>
        <w:rPr>
          <w:rFonts w:ascii="Times New Roman" w:hAnsi="Times New Roman" w:eastAsia="SimSun"/>
          <w:b/>
          <w:sz w:val="22"/>
        </w:rPr>
        <w:t>The static advantage of off-manifold filtering.</w:t>
      </w:r>
      <w:r>
        <w:rPr>
          <w:rFonts w:ascii="Times New Roman" w:hAnsi="Times New Roman" w:eastAsia="SimSun"/>
          <w:sz w:val="22"/>
        </w:rPr>
        <w:t xml:space="preserve"> An earlier draft reported</w:t>
      </w:r>
    </w:p>
    <w:p>
      <w:r>
        <w:rPr>
          <w:rFonts w:ascii="Times New Roman" w:hAnsi="Times New Roman" w:eastAsia="SimSun"/>
          <w:sz w:val="22"/>
        </w:rPr>
        <w:t xml:space="preserve">   0.125 / 0.438 / 0.750 across the perturbation sweep and described the static advantage</w:t>
      </w:r>
    </w:p>
    <w:p>
      <w:r>
        <w:rPr>
          <w:rFonts w:ascii="Times New Roman" w:hAnsi="Times New Roman" w:eastAsia="SimSun"/>
          <w:sz w:val="22"/>
        </w:rPr>
        <w:t xml:space="preserve">   as a factor of six over no defense. Those values came from a run written to a scratch</w:t>
      </w:r>
    </w:p>
    <w:p>
      <w:r>
        <w:rPr>
          <w:rFonts w:ascii="Times New Roman" w:hAnsi="Times New Roman" w:eastAsia="SimSun"/>
          <w:sz w:val="22"/>
        </w:rPr>
        <w:t xml:space="preserve">   directory excluded from version control, rather than from the configuration that</w:t>
      </w:r>
    </w:p>
    <w:p>
      <w:r>
        <w:rPr>
          <w:rFonts w:ascii="Times New Roman" w:hAnsi="Times New Roman" w:eastAsia="SimSun"/>
          <w:sz w:val="22"/>
        </w:rPr>
        <w:t xml:space="preserve">   produces every other number in this paper. Re-running the committed configuration</w:t>
      </w:r>
    </w:p>
    <w:p>
      <w:r>
        <w:rPr>
          <w:rFonts w:ascii="Times New Roman" w:hAnsi="Times New Roman" w:eastAsia="SimSun"/>
          <w:sz w:val="22"/>
        </w:rPr>
        <w:t xml:space="preserve">   reproduces Table C1 with 18 of 18 adaptive cells bit-identical, and gives a static</w:t>
      </w:r>
    </w:p>
    <w:p>
      <w:r>
        <w:rPr>
          <w:rFonts w:ascii="Times New Roman" w:hAnsi="Times New Roman" w:eastAsia="SimSun"/>
          <w:sz w:val="22"/>
        </w:rPr>
        <w:t xml:space="preserve">   advantage of a factor of three. The qualitative conclusion is unchanged; the factor is.</w:t>
      </w:r>
    </w:p>
    <w:p>
      <w:pPr>
        <w:pStyle w:val="ListNumber"/>
        <w:spacing w:line="360" w:lineRule="auto"/>
      </w:pPr>
      <w:r>
        <w:rPr>
          <w:rFonts w:ascii="Times New Roman" w:hAnsi="Times New Roman" w:eastAsia="SimSun"/>
          <w:b/>
          <w:sz w:val="22"/>
        </w:rPr>
        <w:t>The shape of the adaptive collapse.</w:t>
      </w:r>
      <w:r>
        <w:rPr>
          <w:rFonts w:ascii="Times New Roman" w:hAnsi="Times New Roman" w:eastAsia="SimSun"/>
          <w:sz w:val="22"/>
        </w:rPr>
        <w:t xml:space="preserve"> We first reported that the collapse is steeper</w:t>
      </w:r>
    </w:p>
    <w:p>
      <w:r>
        <w:rPr>
          <w:rFonts w:ascii="Times New Roman" w:hAnsi="Times New Roman" w:eastAsia="SimSun"/>
          <w:sz w:val="22"/>
        </w:rPr>
        <w:t xml:space="preserve">   on a pretrained encoder than on our own hashed retriever, and framed the result as</w:t>
      </w:r>
    </w:p>
    <w:p>
      <w:r>
        <w:rPr>
          <w:rFonts w:ascii="Times New Roman" w:hAnsi="Times New Roman" w:eastAsia="SimSun"/>
          <w:sz w:val="22"/>
        </w:rPr>
        <w:t xml:space="preserve">   "real encoders collapse faster". With six back-ends the pattern does not support that</w:t>
      </w:r>
    </w:p>
    <w:p>
      <w:r>
        <w:rPr>
          <w:rFonts w:ascii="Times New Roman" w:hAnsi="Times New Roman" w:eastAsia="SimSun"/>
          <w:sz w:val="22"/>
        </w:rPr>
        <w:t xml:space="preserve">   framing: GTE-base and E5-base-v2 fail in a single perturbation step, while Contriever</w:t>
      </w:r>
    </w:p>
    <w:p>
      <w:r>
        <w:rPr>
          <w:rFonts w:ascii="Times New Roman" w:hAnsi="Times New Roman" w:eastAsia="SimSun"/>
          <w:sz w:val="22"/>
        </w:rPr>
        <w:t xml:space="preserve">   and both SPLADE sizes climb gradually and resemble the hashed retriever. The framing</w:t>
      </w:r>
    </w:p>
    <w:p>
      <w:r>
        <w:rPr>
          <w:rFonts w:ascii="Times New Roman" w:hAnsi="Times New Roman" w:eastAsia="SimSun"/>
          <w:sz w:val="22"/>
        </w:rPr>
        <w:t xml:space="preserve">   was too coarse and was replaced by the three claims in §5.8, which hold on all six.</w:t>
      </w:r>
    </w:p>
    <w:p>
      <w:pPr>
        <w:pStyle w:val="ListNumber"/>
        <w:spacing w:line="360" w:lineRule="auto"/>
      </w:pPr>
      <w:r>
        <w:rPr>
          <w:rFonts w:ascii="Times New Roman" w:hAnsi="Times New Roman" w:eastAsia="SimSun"/>
          <w:b/>
          <w:sz w:val="22"/>
        </w:rPr>
        <w:t>The R2 reference convention.</w:t>
      </w:r>
      <w:r>
        <w:rPr>
          <w:rFonts w:ascii="Times New Roman" w:hAnsi="Times New Roman" w:eastAsia="SimSun"/>
          <w:sz w:val="22"/>
        </w:rPr>
        <w:t xml:space="preserve"> Our first implementation scored stance as</w:t>
      </w:r>
    </w:p>
    <w:p>
      <w:r>
        <w:rPr>
          <w:rFonts w:ascii="Times New Roman" w:hAnsi="Times New Roman" w:eastAsia="SimSun"/>
          <w:sz w:val="22"/>
        </w:rPr>
        <w:t xml:space="preserve">   </w:t>
      </w:r>
      <w:r>
        <w:rPr>
          <w:rFonts w:ascii="Consolas" w:hAnsi="Consolas" w:eastAsia="Consolas"/>
          <w:sz w:val="21"/>
        </w:rPr>
        <w:t>P(entail | statement, answer)</w:t>
      </w:r>
      <w:r>
        <w:rPr>
          <w:rFonts w:ascii="Times New Roman" w:hAnsi="Times New Roman" w:eastAsia="SimSun"/>
          <w:sz w:val="22"/>
        </w:rPr>
        <w:t>. Calibrated against the correct convention on the same</w:t>
      </w:r>
    </w:p>
    <w:p>
      <w:r>
        <w:rPr>
          <w:rFonts w:ascii="Times New Roman" w:hAnsi="Times New Roman" w:eastAsia="SimSun"/>
          <w:sz w:val="22"/>
        </w:rPr>
        <w:t xml:space="preserve">   data, the reversed form returns ±0.002 for a favourable answer, an unfavourable answer,</w:t>
      </w:r>
    </w:p>
    <w:p>
      <w:r>
        <w:rPr>
          <w:rFonts w:ascii="Times New Roman" w:hAnsi="Times New Roman" w:eastAsia="SimSun"/>
          <w:sz w:val="22"/>
        </w:rPr>
        <w:t xml:space="preserve">   an unrelated answer and a vacuous one alike; the correct direction,</w:t>
      </w:r>
    </w:p>
    <w:p>
      <w:r>
        <w:rPr>
          <w:rFonts w:ascii="Times New Roman" w:hAnsi="Times New Roman" w:eastAsia="SimSun"/>
          <w:sz w:val="22"/>
        </w:rPr>
        <w:t xml:space="preserve">   </w:t>
      </w:r>
      <w:r>
        <w:rPr>
          <w:rFonts w:ascii="Consolas" w:hAnsi="Consolas" w:eastAsia="Consolas"/>
          <w:sz w:val="21"/>
        </w:rPr>
        <w:t>P(entail | answer, statement)</w:t>
      </w:r>
      <w:r>
        <w:rPr>
          <w:rFonts w:ascii="Times New Roman" w:hAnsi="Times New Roman" w:eastAsia="SimSun"/>
          <w:sz w:val="22"/>
        </w:rPr>
        <w:t>, returns +0.997 and −0.997 for the two extremes. The</w:t>
      </w:r>
    </w:p>
    <w:p>
      <w:r>
        <w:rPr>
          <w:rFonts w:ascii="Times New Roman" w:hAnsi="Times New Roman" w:eastAsia="SimSun"/>
          <w:sz w:val="22"/>
        </w:rPr>
        <w:t xml:space="preserve">   convention is not interchangeable, and the failure mode is indistinguishable from a</w:t>
      </w:r>
    </w:p>
    <w:p>
      <w:r>
        <w:rPr>
          <w:rFonts w:ascii="Times New Roman" w:hAnsi="Times New Roman" w:eastAsia="SimSun"/>
          <w:sz w:val="22"/>
        </w:rPr>
        <w:t xml:space="preserve">   genuine null result.</w:t>
      </w:r>
    </w:p>
    <w:p>
      <w:pPr>
        <w:pStyle w:val="ListNumber"/>
        <w:spacing w:line="360" w:lineRule="auto"/>
      </w:pPr>
      <w:r>
        <w:rPr>
          <w:rFonts w:ascii="Times New Roman" w:hAnsi="Times New Roman" w:eastAsia="SimSun"/>
          <w:b/>
          <w:sz w:val="22"/>
        </w:rPr>
        <w:t>The attribution direction.</w:t>
      </w:r>
      <w:r>
        <w:rPr>
          <w:rFonts w:ascii="Times New Roman" w:hAnsi="Times New Roman" w:eastAsia="SimSun"/>
          <w:sz w:val="22"/>
        </w:rPr>
        <w:t xml:space="preserve"> The expected-attributed-exposure statistic was first</w:t>
      </w:r>
    </w:p>
    <w:p>
      <w:r>
        <w:rPr>
          <w:rFonts w:ascii="Times New Roman" w:hAnsi="Times New Roman" w:eastAsia="SimSun"/>
          <w:sz w:val="22"/>
        </w:rPr>
        <w:t xml:space="preserve">   implemented by asking the generator whether its answer relied on each retrieved</w:t>
      </w:r>
    </w:p>
    <w:p>
      <w:r>
        <w:rPr>
          <w:rFonts w:ascii="Times New Roman" w:hAnsi="Times New Roman" w:eastAsia="SimSun"/>
          <w:sz w:val="22"/>
        </w:rPr>
        <w:t xml:space="preserve">   passage. It returned 1.000 in every condition. The cause is direction: attribution must</w:t>
      </w:r>
    </w:p>
    <w:p>
      <w:r>
        <w:rPr>
          <w:rFonts w:ascii="Times New Roman" w:hAnsi="Times New Roman" w:eastAsia="SimSun"/>
          <w:sz w:val="22"/>
        </w:rPr>
        <w:t xml:space="preserve">   ask whether the </w:t>
      </w:r>
      <w:r>
        <w:rPr>
          <w:rFonts w:ascii="Times New Roman" w:hAnsi="Times New Roman" w:eastAsia="SimSun"/>
          <w:b/>
          <w:sz w:val="22"/>
        </w:rPr>
        <w:t>passage entails the answer</w:t>
      </w:r>
      <w:r>
        <w:rPr>
          <w:rFonts w:ascii="Times New Roman" w:hAnsi="Times New Roman" w:eastAsia="SimSun"/>
          <w:sz w:val="22"/>
        </w:rPr>
        <w:t>. With the direction corrected the</w:t>
      </w:r>
    </w:p>
    <w:p>
      <w:r>
        <w:rPr>
          <w:rFonts w:ascii="Times New Roman" w:hAnsi="Times New Roman" w:eastAsia="SimSun"/>
          <w:sz w:val="22"/>
        </w:rPr>
        <w:t xml:space="preserve">   statistic discriminates properly, 0.798–0.828 clean rising to 0.831–0.968 under</w:t>
      </w:r>
    </w:p>
    <w:p>
      <w:r>
        <w:rPr>
          <w:rFonts w:ascii="Times New Roman" w:hAnsi="Times New Roman" w:eastAsia="SimSun"/>
          <w:sz w:val="22"/>
        </w:rPr>
        <w:t xml:space="preserve">   injection.</w:t>
      </w:r>
    </w:p>
    <w:p>
      <w:pPr>
        <w:pStyle w:val="ListNumber"/>
        <w:spacing w:line="360" w:lineRule="auto"/>
      </w:pPr>
      <w:r>
        <w:rPr>
          <w:rFonts w:ascii="Times New Roman" w:hAnsi="Times New Roman" w:eastAsia="SimSun"/>
          <w:b/>
          <w:sz w:val="22"/>
        </w:rPr>
        <w:t>The injection parameter.</w:t>
      </w:r>
      <w:r>
        <w:rPr>
          <w:rFonts w:ascii="Times New Roman" w:hAnsi="Times New Roman" w:eastAsia="SimSun"/>
          <w:sz w:val="22"/>
        </w:rPr>
        <w:t xml:space="preserve"> An earlier version injected a fixed six passages per</w:t>
      </w:r>
    </w:p>
    <w:p>
      <w:r>
        <w:rPr>
          <w:rFonts w:ascii="Times New Roman" w:hAnsi="Times New Roman" w:eastAsia="SimSun"/>
          <w:sz w:val="22"/>
        </w:rPr>
        <w:t xml:space="preserve">   stratum and concluded that the text-only attack does not transfer to natural data. Six</w:t>
      </w:r>
    </w:p>
    <w:p>
      <w:r>
        <w:rPr>
          <w:rFonts w:ascii="Times New Roman" w:hAnsi="Times New Roman" w:eastAsia="SimSun"/>
          <w:sz w:val="22"/>
        </w:rPr>
        <w:t xml:space="preserve">   passages is roughly 10% of a small candidate pool but 0.03% of an 18k-passage corpus, so</w:t>
      </w:r>
    </w:p>
    <w:p>
      <w:r>
        <w:rPr>
          <w:rFonts w:ascii="Times New Roman" w:hAnsi="Times New Roman" w:eastAsia="SimSun"/>
          <w:sz w:val="22"/>
        </w:rPr>
        <w:t xml:space="preserve">   a fixed count measures corpus size rather than attack strength. The sweep in §5.4 is</w:t>
      </w:r>
    </w:p>
    <w:p>
      <w:r>
        <w:rPr>
          <w:rFonts w:ascii="Times New Roman" w:hAnsi="Times New Roman" w:eastAsia="SimSun"/>
          <w:sz w:val="22"/>
        </w:rPr>
        <w:t xml:space="preserve">   reported as an injection rate.</w:t>
      </w:r>
    </w:p>
    <w:p>
      <w:pPr>
        <w:pStyle w:val="ListNumber"/>
        <w:spacing w:line="360" w:lineRule="auto"/>
      </w:pPr>
      <w:r>
        <w:rPr>
          <w:rFonts w:ascii="Times New Roman" w:hAnsi="Times New Roman" w:eastAsia="SimSun"/>
          <w:b/>
          <w:sz w:val="22"/>
        </w:rPr>
        <w:t>An inference from Corollary 1.</w:t>
      </w:r>
      <w:r>
        <w:rPr>
          <w:rFonts w:ascii="Times New Roman" w:hAnsi="Times New Roman" w:eastAsia="SimSun"/>
          <w:sz w:val="22"/>
        </w:rPr>
        <w:t xml:space="preserve"> An earlier version concluded that the number of</w:t>
      </w:r>
    </w:p>
    <w:p>
      <w:r>
        <w:rPr>
          <w:rFonts w:ascii="Times New Roman" w:hAnsi="Times New Roman" w:eastAsia="SimSun"/>
          <w:sz w:val="22"/>
        </w:rPr>
        <w:t xml:space="preserve">   passages required is bounded by a small constant independent of corpus size. That</w:t>
      </w:r>
    </w:p>
    <w:p>
      <w:r>
        <w:rPr>
          <w:rFonts w:ascii="Times New Roman" w:hAnsi="Times New Roman" w:eastAsia="SimSun"/>
          <w:sz w:val="22"/>
        </w:rPr>
        <w:t xml:space="preserve">   conflates two requirements which behave differently, and the corrected statement is in</w:t>
      </w:r>
    </w:p>
    <w:p>
      <w:r>
        <w:rPr>
          <w:rFonts w:ascii="Times New Roman" w:hAnsi="Times New Roman" w:eastAsia="SimSun"/>
          <w:sz w:val="22"/>
        </w:rPr>
        <w:t xml:space="preserve">   §6.</w:t>
      </w:r>
    </w:p>
    <w:p>
      <w:pPr>
        <w:pStyle w:val="ListNumber"/>
        <w:spacing w:line="360" w:lineRule="auto"/>
      </w:pPr>
      <w:r>
        <w:rPr>
          <w:rFonts w:ascii="Times New Roman" w:hAnsi="Times New Roman" w:eastAsia="SimSun"/>
          <w:b/>
          <w:sz w:val="22"/>
        </w:rPr>
        <w:t>A cross-reference defect found by the reference checker.</w:t>
      </w:r>
      <w:r>
        <w:rPr>
          <w:rFonts w:ascii="Times New Roman" w:hAnsi="Times New Roman" w:eastAsia="SimSun"/>
          <w:sz w:val="22"/>
        </w:rPr>
        <w:t xml:space="preserve"> Three </w:t>
      </w:r>
      <w:r>
        <w:rPr>
          <w:rFonts w:ascii="Consolas" w:hAnsi="Consolas" w:eastAsia="Consolas"/>
          <w:sz w:val="21"/>
        </w:rPr>
        <w:t>\bibitem</w:t>
      </w:r>
      <w:r>
        <w:rPr>
          <w:rFonts w:ascii="Times New Roman" w:hAnsi="Times New Roman" w:eastAsia="SimSun"/>
          <w:sz w:val="22"/>
        </w:rPr>
        <w:t xml:space="preserve"> keys had</w:t>
      </w:r>
    </w:p>
    <w:p>
      <w:r>
        <w:rPr>
          <w:rFonts w:ascii="Times New Roman" w:hAnsi="Times New Roman" w:eastAsia="SimSun"/>
          <w:sz w:val="22"/>
        </w:rPr>
        <w:t xml:space="preserve">   been assigned the same label during an automated edit, which pdflatex resolves silently</w:t>
      </w:r>
    </w:p>
    <w:p>
      <w:r>
        <w:rPr>
          <w:rFonts w:ascii="Times New Roman" w:hAnsi="Times New Roman" w:eastAsia="SimSun"/>
          <w:sz w:val="22"/>
        </w:rPr>
        <w:t xml:space="preserve">   to the last definition; every citation affected was pointing at the wrong entry. Found</w:t>
      </w:r>
    </w:p>
    <w:p>
      <w:r>
        <w:rPr>
          <w:rFonts w:ascii="Times New Roman" w:hAnsi="Times New Roman" w:eastAsia="SimSun"/>
          <w:sz w:val="22"/>
        </w:rPr>
        <w:t xml:space="preserve">   by comparing the citation set against the markdown source, and corrected.</w:t>
      </w:r>
    </w:p>
    <w:p>
      <w:pPr>
        <w:spacing w:before="240" w:after="120"/>
      </w:pPr>
      <w:r>
        <w:rPr>
          <w:rFonts w:ascii="Times New Roman" w:hAnsi="Times New Roman" w:eastAsia="Microsoft YaHei"/>
          <w:b/>
          <w:sz w:val="28"/>
        </w:rPr>
        <w:t>References</w:t>
      </w:r>
    </w:p>
    <w:p>
      <w:r>
        <w:rPr>
          <w:rFonts w:ascii="Times New Roman" w:hAnsi="Times New Roman" w:eastAsia="SimSun"/>
          <w:b/>
          <w:sz w:val="22"/>
        </w:rPr>
        <w:t>Declaration of generative AI and AI-assisted technologies in the manuscript preparation process.</w:t>
      </w:r>
      <w:r>
        <w:rPr>
          <w:rFonts w:ascii="Times New Roman" w:hAnsi="Times New Roman" w:eastAsia="SimSun"/>
          <w:sz w:val="22"/>
        </w:rPr>
        <w:t xml:space="preserve"> During the preparation of this work the author used DeepSeek Harness (deepseek-flash) in order to search and verify bibliographic metadata, draft and revise prose, and produce one conceptual schematic figure of the framework from a description supplied by the author. After using this tool, the author reviewed and edited all output, verified every citation against the primary source, and takes full responsibility for the content of the publication.</w:t>
      </w:r>
    </w:p>
    <w:p>
      <w:r>
        <w:rPr>
          <w:rFonts w:ascii="Times New Roman" w:hAnsi="Times New Roman" w:eastAsia="SimSun"/>
          <w:b/>
          <w:sz w:val="22"/>
        </w:rPr>
        <w:t>On the tooling used for the research itself.</w:t>
      </w:r>
      <w:r>
        <w:rPr>
          <w:rFonts w:ascii="Times New Roman" w:hAnsi="Times New Roman" w:eastAsia="SimSun"/>
          <w:sz w:val="22"/>
        </w:rPr>
        <w:t xml:space="preserve"> The generator outputs analysed in §5.7 were produced by the DeepSeek and Qwen API models and by a local Mistral-7B checkpoint, exactly as stated in §5.7 and Appendix D.6. No other AI tool contributed to the research procedure.</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[15]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[16]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[17] A. Z. Jacobs, H. Wallach. Measurement and fairness. </w:t>
      </w:r>
      <w:r>
        <w:rPr>
          <w:rFonts w:ascii="Times New Roman" w:hAnsi="Times New Roman" w:eastAsia="SimSun"/>
          <w:i/>
          <w:sz w:val="22"/>
        </w:rPr>
        <w:t>ACM Conference on Fairness, Accountability, and Transparency (FAccT)</w:t>
      </w:r>
      <w:r>
        <w:rPr>
          <w:rFonts w:ascii="Times New Roman" w:hAnsi="Times New Roman" w:eastAsia="SimSun"/>
          <w:sz w:val="22"/>
        </w:rPr>
        <w:t>, pp. 375–385, 2021.</w:t>
      </w:r>
    </w:p>
    <w:p>
      <w:r>
        <w:rPr>
          <w:rFonts w:ascii="Times New Roman" w:hAnsi="Times New Roman" w:eastAsia="SimSun"/>
          <w:sz w:val="22"/>
        </w:rPr>
        <w:t xml:space="preserve">[18] M. D. Ekstrand, A. Das, R. Burke, F. Diaz. Fairness in information access systems. </w:t>
      </w:r>
      <w:r>
        <w:rPr>
          <w:rFonts w:ascii="Times New Roman" w:hAnsi="Times New Roman" w:eastAsia="SimSun"/>
          <w:i/>
          <w:sz w:val="22"/>
        </w:rPr>
        <w:t>Foundations and Trends in Information Retrieval</w:t>
      </w:r>
      <w:r>
        <w:rPr>
          <w:rFonts w:ascii="Times New Roman" w:hAnsi="Times New Roman" w:eastAsia="SimSun"/>
          <w:sz w:val="22"/>
        </w:rPr>
        <w:t>, vol. 16, no. 1–2, pp. 1–177, 2022.</w:t>
      </w:r>
    </w:p>
    <w:p>
      <w:r>
        <w:rPr>
          <w:rFonts w:ascii="Times New Roman" w:hAnsi="Times New Roman" w:eastAsia="SimSun"/>
          <w:sz w:val="22"/>
        </w:rPr>
        <w:t xml:space="preserve">[19]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[20] B. Efron, R. J. Tibshirani. </w:t>
      </w:r>
      <w:r>
        <w:rPr>
          <w:rFonts w:ascii="Times New Roman" w:hAnsi="Times New Roman" w:eastAsia="SimSun"/>
          <w:i/>
          <w:sz w:val="22"/>
        </w:rPr>
        <w:t>An Introduction to the Bootstrap</w:t>
      </w:r>
      <w:r>
        <w:rPr>
          <w:rFonts w:ascii="Times New Roman" w:hAnsi="Times New Roman" w:eastAsia="SimSun"/>
          <w:sz w:val="22"/>
        </w:rPr>
        <w:t>. Chapman &amp; Hall/CRC, 1993.</w:t>
      </w:r>
    </w:p>
    <w:p>
      <w:r>
        <w:rPr>
          <w:rFonts w:ascii="Times New Roman" w:hAnsi="Times New Roman" w:eastAsia="SimSun"/>
          <w:sz w:val="22"/>
        </w:rPr>
        <w:t xml:space="preserve">[21]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[22]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[23] B.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[24] F. Tramer,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