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a controlled corpus with an exact clean reference, and BBQ, a naturally written bias benchmark.</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0.125 against the non-adaptive attacker — a factor of six,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On a real semantic encoder the collapse is abrupt rather than gradual.</w:t>
      </w:r>
      <w:r>
        <w:rPr>
          <w:rFonts w:ascii="Times New Roman" w:hAnsi="Times New Roman" w:eastAsia="SimSun"/>
          <w:sz w:val="22"/>
        </w:rPr>
        <w:t xml:space="preserve"> Repeating the sweep on GTE-base, every defense goes from its static value to </w:t>
      </w:r>
      <w:r>
        <w:rPr>
          <w:rFonts w:ascii="Times New Roman" w:hAnsi="Times New Roman" w:eastAsia="SimSun"/>
          <w:b/>
          <w:sz w:val="22"/>
        </w:rPr>
        <w:t>complete failure at the first perturbation step</w:t>
      </w:r>
      <w:r>
        <w:rPr>
          <w:rFonts w:ascii="Times New Roman" w:hAnsi="Times New Roman" w:eastAsia="SimSun"/>
          <w:sz w:val="22"/>
        </w:rPr>
        <w:t xml:space="preserve"> ($\lambda = 0.25$), where our own retriever required $\lambda = 1$–$2$. Off-manifold filtering is perfect at $\lambda=0$ (0.000) and fully defeated at $\lambda=0.25$. The hash-based numbers we report elsewhere in this paper are therefore generous to the defenses, not harsh.</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b/>
                <w:sz w:val="19"/>
              </w:rPr>
              <w:t>0.438</w:t>
            </w:r>
          </w:p>
        </w:tc>
        <w:tc>
          <w:tcPr>
            <w:tcW w:type="dxa" w:w="1205"/>
          </w:tcPr>
          <w:p>
            <w:pPr>
              <w:spacing w:line="240" w:lineRule="auto" w:after="0"/>
            </w:pPr>
            <w:r>
              <w:rPr>
                <w:rFonts w:ascii="Times New Roman" w:hAnsi="Times New Roman" w:eastAsia="SimSun"/>
                <w:b/>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0.125</w:t>
      </w:r>
      <w:r>
        <w:rPr>
          <w:rFonts w:ascii="Times New Roman" w:hAnsi="Times New Roman" w:eastAsia="SimSun"/>
          <w:sz w:val="22"/>
        </w:rPr>
        <w:t xml:space="preserve"> against the static attacker — a factor of six, and the best result anywhere in our study. It is the defense one would recommend from a static evaluation. Under adaptation it rises monotonically — 0.125 → 0.438 → 0.750 → 0.938 → 1.000 — and is defeated by $\lambda = 2$. The composition-constrained defenses, which are </w:t>
      </w:r>
      <w:r>
        <w:rPr>
          <w:rFonts w:ascii="Times New Roman" w:hAnsi="Times New Roman" w:eastAsia="SimSun"/>
          <w:i/>
          <w:sz w:val="22"/>
        </w:rPr>
        <w:t>five times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5.2b The collapse is steeper on a real encoder</w:t>
      </w:r>
    </w:p>
    <w:p>
      <w:r>
        <w:rPr>
          <w:rFonts w:ascii="Times New Roman" w:hAnsi="Times New Roman" w:eastAsia="SimSun"/>
          <w:sz w:val="22"/>
        </w:rPr>
        <w:t xml:space="preserve">The results above use our own feature-hashing dense retriever. Because a real semantic encoder differs substantially in how much structure the attacker can exploit, we repeated the adaptive sweep on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The difference is not one of degree.</w:t>
      </w:r>
    </w:p>
    <w:p>
      <w:r>
        <w:rPr>
          <w:rFonts w:ascii="Times New Roman" w:hAnsi="Times New Roman" w:eastAsia="SimSun"/>
          <w:b/>
          <w:sz w:val="22"/>
        </w:rPr>
        <w:t>Table 2b.</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GTE-base versus feature-hashing dense.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backbone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sz w:val="19"/>
              </w:rPr>
              <w:t>0.438</w:t>
            </w:r>
          </w:p>
        </w:tc>
        <w:tc>
          <w:tcPr>
            <w:tcW w:type="dxa" w:w="1205"/>
          </w:tcPr>
          <w:p>
            <w:pPr>
              <w:spacing w:line="240" w:lineRule="auto" w:after="0"/>
            </w:pPr>
            <w:r>
              <w:rPr>
                <w:rFonts w:ascii="Times New Roman" w:hAnsi="Times New Roman" w:eastAsia="SimSun"/>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b/>
                <w:sz w:val="19"/>
              </w:rPr>
              <w:t>0.000</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sz w:val="19"/>
              </w:rPr>
              <w:t>0.271</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Consolas" w:hAnsi="Consolas" w:eastAsia="Consolas"/>
                <w:sz w:val="18"/>
              </w:rPr>
              <w:t>repr_conserving</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Consolas" w:hAnsi="Consolas" w:eastAsia="Consolas"/>
                <w:sz w:val="18"/>
              </w:rPr>
              <w:t>repr_conserving</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sz w:val="19"/>
              </w:rPr>
              <w:t>0.0625</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On GTE-base </w:t>
      </w:r>
      <w:r>
        <w:rPr>
          <w:rFonts w:ascii="Times New Roman" w:hAnsi="Times New Roman" w:eastAsia="SimSun"/>
          <w:b/>
          <w:sz w:val="22"/>
        </w:rPr>
        <w:t>every defense jumps from its static value to complete failure in a single step of perturbation strength</w:t>
      </w:r>
      <w:r>
        <w:rPr>
          <w:rFonts w:ascii="Times New Roman" w:hAnsi="Times New Roman" w:eastAsia="SimSun"/>
          <w:sz w:val="22"/>
        </w:rPr>
        <w:t xml:space="preserve"> ($\lambda: 0 \to 0.25$), whereas on our own retriever the collapse is gradual and takes until $\lambda = 1$–$2$. Off-manifold filtering is the extreme case: perfect at $\lambda = 0$ (zero adversarial inclusion) and completely defeated at $\lambda = 0.25$.</w:t>
      </w:r>
    </w:p>
    <w:p>
      <w:r>
        <w:rPr>
          <w:rFonts w:ascii="Times New Roman" w:hAnsi="Times New Roman" w:eastAsia="SimSun"/>
          <w:b/>
          <w:sz w:val="22"/>
        </w:rPr>
        <w:t>Finding 1b.</w:t>
      </w:r>
      <w:r>
        <w:rPr>
          <w:rFonts w:ascii="Times New Roman" w:hAnsi="Times New Roman" w:eastAsia="SimSun"/>
          <w:sz w:val="22"/>
        </w:rPr>
        <w:t xml:space="preserve"> The adaptive robustness of these defenses is </w:t>
      </w:r>
      <w:r>
        <w:rPr>
          <w:rFonts w:ascii="Times New Roman" w:hAnsi="Times New Roman" w:eastAsia="SimSun"/>
          <w:b/>
          <w:sz w:val="22"/>
        </w:rPr>
        <w:t>smaller on a real encoder than on our own</w:t>
      </w:r>
      <w:r>
        <w:rPr>
          <w:rFonts w:ascii="Times New Roman" w:hAnsi="Times New Roman" w:eastAsia="SimSun"/>
          <w:sz w:val="22"/>
        </w:rPr>
        <w:t>, and the failure is abrupt rather than gradual. A defense's static advantage is erased by a perturbation well below what our own retriever required. This strengthens Finding 1 rather than qualifying it: the hash-based sweep, with its gradual collapse, is if anything generous to the defenses.</w:t>
      </w:r>
    </w:p>
    <w:p>
      <w:r>
        <w:rPr>
          <w:rFonts w:ascii="Times New Roman" w:hAnsi="Times New Roman" w:eastAsia="SimSun"/>
          <w:sz w:val="22"/>
        </w:rPr>
        <w:t xml:space="preserve">We flag one caveat in the other direction. GTE-base shows a </w:t>
      </w:r>
      <w:r>
        <w:rPr>
          <w:rFonts w:ascii="Times New Roman" w:hAnsi="Times New Roman" w:eastAsia="SimSun"/>
          <w:i/>
          <w:sz w:val="22"/>
        </w:rPr>
        <w:t>lower</w:t>
      </w:r>
      <w:r>
        <w:rPr>
          <w:rFonts w:ascii="Times New Roman" w:hAnsi="Times New Roman" w:eastAsia="SimSun"/>
          <w:sz w:val="22"/>
        </w:rPr>
        <w:t xml:space="preserve"> static </w:t>
      </w:r>
      <w:r>
        <w:rPr>
          <w:rFonts w:ascii="Consolas" w:hAnsi="Consolas" w:eastAsia="Consolas"/>
          <w:sz w:val="21"/>
        </w:rPr>
        <w:t>poison@k</w:t>
      </w:r>
      <w:r>
        <w:rPr>
          <w:rFonts w:ascii="Times New Roman" w:hAnsi="Times New Roman" w:eastAsia="SimSun"/>
          <w:sz w:val="22"/>
        </w:rPr>
        <w:t xml:space="preserve"> for two of the three defenses (0.000 and 0.0625 at $\lambda=0$ versus 0.125 and 0.625), so part of the apparent steepness is that these defenses start from a better static position. The conclusion that survives is the one that matters in practice: </w:t>
      </w:r>
      <w:r>
        <w:rPr>
          <w:rFonts w:ascii="Times New Roman" w:hAnsi="Times New Roman" w:eastAsia="SimSun"/>
          <w:b/>
          <w:sz w:val="22"/>
        </w:rPr>
        <w:t>the attacker's required effort is lower on the real encoder, not higher, and no defense retains any measurable benefit beyond the smallest perturbation we tested.</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our results are therefore a lower bound on adaptive attack effectiveness, not an upper bound. We consider this the conservative direction for our claims but it means the reported failure points are optimistic for the defenses. [FILL: full bilevel optimisation.]</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 and back-ends.</w:t>
      </w:r>
      <w:r>
        <w:rPr>
          <w:rFonts w:ascii="Times New Roman" w:hAnsi="Times New Roman" w:eastAsia="SimSun"/>
          <w:sz w:val="22"/>
        </w:rPr>
        <w:t xml:space="preserve"> A controlled corpus and BBQ; a feature-hashing dense retriever and GTE-base. BBQ is a bias benchmark rather than a retrieval benchmark, and its large pre-existing stance imbalance dominates absolute fairness metrics (see the companion paper for a fuller treatment). On real encoders the R2 gap saturates at its maximum under the projection attack, which leaves no headroom for a fairness constraint to demonstrate benefit — a limitation of what can be measured on those back-ends, not of the defenses. A neutral retrieval corpus is needed to place the magnitudes on a representative footing. [FILL]</w:t>
      </w:r>
    </w:p>
    <w:p>
      <w:pPr>
        <w:pStyle w:val="ListNumber"/>
        <w:spacing w:line="360" w:lineRule="auto"/>
      </w:pPr>
      <w:r>
        <w:rPr>
          <w:rFonts w:ascii="Times New Roman" w:hAnsi="Times New Roman" w:eastAsia="SimSun"/>
          <w:b/>
          <w:sz w:val="22"/>
        </w:rPr>
        <w:t>Defense coverage and backbone coverage.</w:t>
      </w:r>
      <w:r>
        <w:rPr>
          <w:rFonts w:ascii="Times New Roman" w:hAnsi="Times New Roman" w:eastAsia="SimSun"/>
          <w:sz w:val="22"/>
        </w:rPr>
        <w:t xml:space="preserve"> Three defenses from two mechanism families, and two vector back-ends (our feature-hashing retriever and GTE-base). Coverage of the embedder-control [7] and constrained-optimisation [5] families would strengthen the generality of Finding 1; we argue the structural argument of §4 applies to both, since embedder control is also a fixed public map and constrained optimisation has a public objective. On backbones, the companion paper reports that text-attack effectiveness varies nine-fold between two real encoders of the same size class (Contriever 0.5625 versus GTE-base 0.0625), so adaptive robustness should be expected to vary similarly; Contriever, E5 and SPLADE remain to be swept. [FILL]</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No GPU is required; both corpora complete on CPU in under three minutes.</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