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four retrievers the text attack succeeds 0.750 (BM25), 0.625 (feature hashing), 0.5625 (Contriever) and 0.0625 (GTE-base) — a nine-fold spread between two real encoders of the same size class.</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 and show by four-way backbone alignment that it does not depend on the attack leaving R1 undisturbed — on real encoders the attack moves R1 by 0.37–0.47, more than three times as much as on our own retrievers, and the R1 constraint is inert at every budget setting regardless.</w:t>
      </w:r>
    </w:p>
    <w:p>
      <w:r>
        <w:rPr>
          <w:rFonts w:ascii="Times New Roman" w:hAnsi="Times New Roman" w:eastAsia="SimSun"/>
          <w:sz w:val="22"/>
        </w:rPr>
        <w:t xml:space="preserve">Finding (3)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w:t>
      </w:r>
    </w:p>
    <w:p>
      <w:r>
        <w:rPr>
          <w:rFonts w:ascii="Times New Roman" w:hAnsi="Times New Roman" w:eastAsia="SimSun"/>
          <w:sz w:val="22"/>
        </w:rPr>
        <w:t xml:space="preserve">We then replicate on </w:t>
      </w:r>
      <w:r>
        <w:rPr>
          <w:rFonts w:ascii="Times New Roman" w:hAnsi="Times New Roman" w:eastAsia="SimSun"/>
          <w:b/>
          <w:sz w:val="22"/>
        </w:rPr>
        <w:t>BBQ</w:t>
      </w:r>
      <w:r>
        <w:rPr>
          <w:rFonts w:ascii="Times New Roman" w:hAnsi="Times New Roman" w:eastAsia="SimSun"/>
          <w:sz w:val="22"/>
        </w:rPr>
        <w:t xml:space="preserve">, a naturally written bias benchmark, using BBQ's own stereotype annotations to derive stance labels, and report results that are </w:t>
      </w:r>
      <w:r>
        <w:rPr>
          <w:rFonts w:ascii="Times New Roman" w:hAnsi="Times New Roman" w:eastAsia="SimSun"/>
          <w:b/>
          <w:sz w:val="22"/>
        </w:rPr>
        <w:t>partly unfavourable to our own earlier conclusions</w:t>
      </w:r>
      <w:r>
        <w:rPr>
          <w:rFonts w:ascii="Times New Roman" w:hAnsi="Times New Roman" w:eastAsia="SimSun"/>
          <w:sz w:val="22"/>
        </w:rPr>
        <w:t xml:space="preserve">. Two findings change: the text-only template attack, which reached 75% inclusion on the controlled corpus against BM25, is entirely ineffective on natural data (0%), so we withdraw the claim that text-level injection suffices; and the R2-constraining defense, which was inert against the projection attack on the controlled corpus, does reduce adversarial inclusion on natural data (0.764 → 0.660) while improving the utility proxy. Two findings survive on both corpora, and they are the ones we retain: </w:t>
      </w:r>
      <w:r>
        <w:rPr>
          <w:rFonts w:ascii="Times New Roman" w:hAnsi="Times New Roman" w:eastAsia="SimSun"/>
          <w:b/>
          <w:sz w:val="22"/>
        </w:rPr>
        <w:t>constraints on group composition are inert against this attack</w:t>
      </w:r>
      <w:r>
        <w:rPr>
          <w:rFonts w:ascii="Times New Roman" w:hAnsi="Times New Roman" w:eastAsia="SimSun"/>
          <w:sz w:val="22"/>
        </w:rPr>
        <w:t xml:space="preserve"> — attaining exactly the adversarial-inclusion rate of no defense, at every value of their budget parameter — and </w:t>
      </w:r>
      <w:r>
        <w:rPr>
          <w:rFonts w:ascii="Times New Roman" w:hAnsi="Times New Roman" w:eastAsia="SimSun"/>
          <w:b/>
          <w:sz w:val="22"/>
        </w:rPr>
        <w:t>the within-group stance dimension is the only one along which any metric moves in the desired direction</w:t>
      </w:r>
      <w:r>
        <w:rPr>
          <w:rFonts w:ascii="Times New Roman" w:hAnsi="Times New Roman" w:eastAsia="SimSun"/>
          <w:sz w:val="22"/>
        </w:rPr>
        <w:t>.</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[FILL: replace with or replicate on TREC 2022 Fair Ranking Track [17] and BBQ [15] corpora; see §8.]</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and a dense embedder. [FILL: add GTE-base (matching [5]) and Contriever/SPLADE (matching [8]) to enable direct comparison.]</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The controlled suite completes in ~25 s and the BBQ replication in ~180 s, both on CPU with no GPU. Remaining </w:t>
      </w:r>
      <w:r>
        <w:rPr>
          <w:rFonts w:ascii="Consolas" w:hAnsi="Consolas" w:eastAsia="Consolas"/>
          <w:sz w:val="20"/>
        </w:rPr>
        <w:t>[FILL]</w:t>
      </w:r>
      <w:r>
        <w:rPr>
          <w:rFonts w:ascii="Times New Roman" w:hAnsi="Times New Roman" w:eastAsia="SimSun"/>
          <w:sz w:val="21"/>
        </w:rPr>
        <w:t xml:space="preserve"> placeholders concern the additional retrieval back-ends and the generation-stage evaluation described in §8.</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four retrievers, including two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 and </w:t>
      </w:r>
      <w:r>
        <w:rPr>
          <w:rFonts w:ascii="Times New Roman" w:hAnsi="Times New Roman" w:eastAsia="SimSun"/>
          <w:b/>
          <w:sz w:val="22"/>
        </w:rPr>
        <w:t>Contriever</w:t>
      </w:r>
      <w:r>
        <w:rPr>
          <w:rFonts w:ascii="Times New Roman" w:hAnsi="Times New Roman" w:eastAsia="SimSun"/>
          <w:sz w:val="22"/>
        </w:rPr>
        <w:t>, used by the fair-ranking work of Kim &amp; Diaz [8]. All four are compared at a matched injection rate on the controlled corpus, so only the retriever varies.</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Both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on real encoders?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bl>
    <w:p/>
    <w:p>
      <w:r>
        <w:rPr>
          <w:rFonts w:ascii="Times New Roman" w:hAnsi="Times New Roman" w:eastAsia="SimSun"/>
          <w:b/>
          <w:sz w:val="22"/>
        </w:rPr>
        <w:t>Finding 6. The R1 constraint is inert on every backbone tested,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defence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defence enforces: the tolerance parameter widens or narrows the admissible region without ever excluding the attacker's passages, which were built to be compositionally typical. An R1 constraint has no operating point at which it bites, and this holds across four retrievers spanning lexical, hashed, and two distinct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2409"/>
            <w:shd w:val="clear" w:color="auto" w:fill="DCE6F1"/>
          </w:tcPr>
          <w:p>
            <w:pPr>
              <w:spacing w:line="240" w:lineRule="auto" w:after="0"/>
            </w:pPr>
            <w:r>
              <w:rPr>
                <w:rFonts w:ascii="Times New Roman" w:hAnsi="Times New Roman" w:eastAsia="SimSun"/>
                <w:b/>
                <w:sz w:val="19"/>
              </w:rPr>
              <w:t>R1 drift @ ρ=0.5%</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0.1625</w:t>
            </w:r>
          </w:p>
        </w:tc>
      </w:tr>
      <w:tr>
        <w:tc>
          <w:tcPr>
            <w:tcW w:type="dxa" w:w="2409"/>
          </w:tcPr>
          <w:p>
            <w:pPr>
              <w:spacing w:line="240" w:lineRule="auto" w:after="0"/>
            </w:pPr>
            <w:r>
              <w:rPr>
                <w:rFonts w:ascii="Times New Roman" w:hAnsi="Times New Roman" w:eastAsia="SimSun"/>
                <w:sz w:val="19"/>
              </w:rPr>
              <w:t>dense (feature hashing)</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0.0812</w:t>
            </w:r>
          </w:p>
        </w:tc>
      </w:tr>
      <w:tr>
        <w:tc>
          <w:tcPr>
            <w:tcW w:type="dxa" w:w="2409"/>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0.5625</w:t>
            </w:r>
          </w:p>
        </w:tc>
        <w:tc>
          <w:tcPr>
            <w:tcW w:type="dxa" w:w="2409"/>
          </w:tcPr>
          <w:p>
            <w:pPr>
              <w:spacing w:line="240" w:lineRule="auto" w:after="0"/>
            </w:pPr>
            <w:r>
              <w:rPr>
                <w:rFonts w:ascii="Times New Roman" w:hAnsi="Times New Roman" w:eastAsia="SimSun"/>
                <w:sz w:val="19"/>
              </w:rPr>
              <w:t>0.5625</w:t>
            </w:r>
          </w:p>
        </w:tc>
        <w:tc>
          <w:tcPr>
            <w:tcW w:type="dxa" w:w="2409"/>
          </w:tcPr>
          <w:p>
            <w:pPr>
              <w:spacing w:line="240" w:lineRule="auto" w:after="0"/>
            </w:pPr>
            <w:r>
              <w:rPr>
                <w:rFonts w:ascii="Times New Roman" w:hAnsi="Times New Roman" w:eastAsia="SimSun"/>
                <w:sz w:val="19"/>
              </w:rPr>
              <w:t>0.1750</w:t>
            </w:r>
          </w:p>
        </w:tc>
      </w:tr>
      <w:tr>
        <w:tc>
          <w:tcPr>
            <w:tcW w:type="dxa" w:w="2409"/>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0.0625</w:t>
            </w:r>
          </w:p>
        </w:tc>
        <w:tc>
          <w:tcPr>
            <w:tcW w:type="dxa" w:w="2409"/>
          </w:tcPr>
          <w:p>
            <w:pPr>
              <w:spacing w:line="240" w:lineRule="auto" w:after="0"/>
            </w:pPr>
            <w:r>
              <w:rPr>
                <w:rFonts w:ascii="Times New Roman" w:hAnsi="Times New Roman" w:eastAsia="SimSun"/>
                <w:sz w:val="19"/>
              </w:rPr>
              <w:t>0.0625</w:t>
            </w:r>
          </w:p>
        </w:tc>
        <w:tc>
          <w:tcPr>
            <w:tcW w:type="dxa" w:w="2409"/>
          </w:tcPr>
          <w:p>
            <w:pPr>
              <w:spacing w:line="240" w:lineRule="auto" w:after="0"/>
            </w:pPr>
            <w:r>
              <w:rPr>
                <w:rFonts w:ascii="Times New Roman" w:hAnsi="Times New Roman" w:eastAsia="SimSun"/>
                <w:sz w:val="19"/>
              </w:rPr>
              <w:t>0.0000</w:t>
            </w:r>
          </w:p>
        </w:tc>
      </w:tr>
    </w:tbl>
    <w:p/>
    <w:p>
      <w:r>
        <w:rPr>
          <w:rFonts w:ascii="Times New Roman" w:hAnsi="Times New Roman" w:eastAsia="SimSun"/>
          <w:b/>
          <w:sz w:val="22"/>
        </w:rPr>
        <w:t>Finding 7. Text-attack effectiveness is not predictable from whether an encoder is semantic — it varies by an order of magnitude across real encoders.</w:t>
      </w:r>
      <w:r>
        <w:rPr>
          <w:rFonts w:ascii="Times New Roman" w:hAnsi="Times New Roman" w:eastAsia="SimSun"/>
          <w:sz w:val="22"/>
        </w:rPr>
        <w:t xml:space="preserve"> We expected, when adding this experiment, to find a clean lexical-versus-semantic split. The result is not that: Contriever succeeds at 0.5625 while GTE-base succeeds at 0.0625, a </w:t>
      </w:r>
      <w:r>
        <w:rPr>
          <w:rFonts w:ascii="Times New Roman" w:hAnsi="Times New Roman" w:eastAsia="SimSun"/>
          <w:b/>
          <w:sz w:val="22"/>
        </w:rPr>
        <w:t>nine-fold difference between two encoders of the same size class, on the same corpus, with the same injected text.</w:t>
      </w:r>
      <w:r>
        <w:rPr>
          <w:rFonts w:ascii="Times New Roman" w:hAnsi="Times New Roman" w:eastAsia="SimSun"/>
          <w:sz w:val="22"/>
        </w:rPr>
        <w:t xml:space="preserve"> What is true is the weaker statement that a feature-hashing retriever is not a substitute for a semantic one — it retains the lexical attack surface (0.625, close to BM25's 0.750) and therefore over-states text-attack effectiveness relative to a real encoder. We flag this because our own earlier numbers were produced with it.</w:t>
      </w:r>
    </w:p>
    <w:p>
      <w:r>
        <w:rPr>
          <w:rFonts w:ascii="Times New Roman" w:hAnsi="Times New Roman" w:eastAsia="SimSun"/>
          <w:sz w:val="22"/>
        </w:rPr>
        <w:t xml:space="preserve">The practical implication is uncomfortable for the evaluation of any RAG retrieval defence: </w:t>
      </w:r>
      <w:r>
        <w:rPr>
          <w:rFonts w:ascii="Times New Roman" w:hAnsi="Times New Roman" w:eastAsia="SimSun"/>
          <w:b/>
          <w:sz w:val="22"/>
        </w:rPr>
        <w:t>a defence's measured robustness depends on an attacker–encoder interaction that is not captured by an "is it semantic" heuristic.</w:t>
      </w:r>
      <w:r>
        <w:rPr>
          <w:rFonts w:ascii="Times New Roman" w:hAnsi="Times New Roman" w:eastAsia="SimSun"/>
          <w:sz w:val="22"/>
        </w:rPr>
        <w:t xml:space="preserve"> Reporting results on a single encoder, as is standard, cannot distinguish a defence that blocks this attack from one that is merely paired with an encoder the attack happens not to suit.</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four retrievers and, decisively, it holds </w:t>
      </w:r>
      <w:r>
        <w:rPr>
          <w:rFonts w:ascii="Times New Roman" w:hAnsi="Times New Roman" w:eastAsia="SimSun"/>
          <w:i/>
          <w:sz w:val="22"/>
        </w:rPr>
        <w:t>even when the attack moves R1 substantially</w:t>
      </w:r>
      <w:r>
        <w:rPr>
          <w:rFonts w:ascii="Times New Roman" w:hAnsi="Times New Roman" w:eastAsia="SimSun"/>
          <w:sz w:val="22"/>
        </w:rPr>
        <w:t xml:space="preserve">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defence configuration at this injection rate, leaving no headroom to recover, so we can show the constraint reducing the gap only on our own encoders. Second, our earlier statement that text-level injection is sufficient must be narrowed to the lexical and hashed retrievers; against GTE-base it is not sufficient at any injection rate we tested.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 3 is not a tuning failure. It follows from what a distributional constraint </w:t>
      </w:r>
      <w:r>
        <w:rPr>
          <w:rFonts w:ascii="Times New Roman" w:hAnsi="Times New Roman" w:eastAsia="SimSun"/>
          <w:i/>
          <w:sz w:val="22"/>
        </w:rPr>
        <w:t>is</w:t>
      </w:r>
      <w:r>
        <w:rPr>
          <w:rFonts w:ascii="Times New Roman" w:hAnsi="Times New Roman" w:eastAsia="SimSun"/>
          <w:sz w:val="22"/>
        </w:rPr>
        <w:t>.</w:t>
      </w:r>
    </w:p>
    <w:p>
      <w:r>
        <w:rPr>
          <w:rFonts w:ascii="Times New Roman" w:hAnsi="Times New Roman" w:eastAsia="SimSun"/>
          <w:sz w:val="22"/>
        </w:rPr>
        <w:t>Let a defense constrain $\mathcal{D}_q$ to a region $\mathcal{R} \subseteq 2^{\mathcal{C}}$ of admissible retrieved sets, defined by conditions on aggregate statistics of $\mathcal{D}_q$ (group composition, stance composition, exposure). Let $\mathcal{A}$ be the set of passages the attacker controls.</w:t>
      </w:r>
    </w:p>
    <w:p>
      <w:r>
        <w:rPr>
          <w:rFonts w:ascii="Times New Roman" w:hAnsi="Times New Roman" w:eastAsia="SimSun"/>
          <w:b/>
          <w:sz w:val="22"/>
        </w:rPr>
        <w:t>Proposition 1.</w:t>
      </w:r>
      <w:r>
        <w:rPr>
          <w:rFonts w:ascii="Times New Roman" w:hAnsi="Times New Roman" w:eastAsia="SimSun"/>
          <w:sz w:val="22"/>
        </w:rPr>
        <w:t xml:space="preserve"> If there exists an admissible set $\mathcal{D} \in \mathcal{R}$ with $\mathcal{D} \cap \mathcal{A} \neq \emptyset$, then any defense that only enforces $\mathcal{D} \in \mathcal{R}$ admits adversarial passages.</w:t>
      </w:r>
    </w:p>
    <w:p>
      <w:r>
        <w:rPr>
          <w:rFonts w:ascii="Times New Roman" w:hAnsi="Times New Roman" w:eastAsia="SimSun"/>
          <w:i/>
          <w:sz w:val="22"/>
        </w:rPr>
        <w:t>Proof.</w:t>
      </w:r>
      <w:r>
        <w:rPr>
          <w:rFonts w:ascii="Times New Roman" w:hAnsi="Times New Roman" w:eastAsia="SimSun"/>
          <w:sz w:val="22"/>
        </w:rPr>
        <w:t xml:space="preserve"> Immediate: the defense's acceptance test is membership in $\mathcal{R}$, which the set satisfies. $\square$</w:t>
      </w:r>
    </w:p>
    <w:p>
      <w:r>
        <w:rPr>
          <w:rFonts w:ascii="Times New Roman" w:hAnsi="Times New Roman" w:eastAsia="SimSun"/>
          <w:sz w:val="22"/>
        </w:rPr>
        <w:t xml:space="preserve">The force of the proposition is that $\mathcal{R}$ is constructed from </w:t>
      </w:r>
      <w:r>
        <w:rPr>
          <w:rFonts w:ascii="Times New Roman" w:hAnsi="Times New Roman" w:eastAsia="SimSun"/>
          <w:i/>
          <w:sz w:val="22"/>
        </w:rPr>
        <w:t>clean</w:t>
      </w:r>
      <w:r>
        <w:rPr>
          <w:rFonts w:ascii="Times New Roman" w:hAnsi="Times New Roman" w:eastAsia="SimSun"/>
          <w:sz w:val="22"/>
        </w:rPr>
        <w:t xml:space="preserve"> statistics — the reference profiles $P^{</w:t>
      </w:r>
      <w:r>
        <w:rPr>
          <w:rFonts w:ascii="Times New Roman" w:hAnsi="Times New Roman" w:eastAsia="SimSun"/>
          <w:i/>
          <w:sz w:val="22"/>
        </w:rPr>
        <w:t>}$. An attacker who shapes injected passages to match those statistics generates sets in $\mathcal{R}$ at will. Pairwise injection is the canonical construction: by drawing from the legitimate template inventory and balancing the two groups, the attacker produces a set whose group composition is exactly $P^{</w:t>
      </w:r>
      <w:r>
        <w:rPr>
          <w:rFonts w:ascii="Times New Roman" w:hAnsi="Times New Roman" w:eastAsia="SimSun"/>
          <w:sz w:val="22"/>
        </w:rPr>
        <w:t>}_{\text{grp}}$, and by controlling stance within each group the attacker can place the set's stance composition anywhere in $[0,1]^{|\mathcal{G}|}$ that the $\epsilon$-ball around $P^{*}_{\text{fav}}$ permits.</w:t>
      </w:r>
    </w:p>
    <w:p>
      <w:r>
        <w:rPr>
          <w:rFonts w:ascii="Times New Roman" w:hAnsi="Times New Roman" w:eastAsia="SimSun"/>
          <w:sz w:val="22"/>
        </w:rPr>
        <w:t>Two consequences follow, and they are the actionable content of this section.</w:t>
      </w:r>
    </w:p>
    <w:p>
      <w:r>
        <w:rPr>
          <w:rFonts w:ascii="Times New Roman" w:hAnsi="Times New Roman" w:eastAsia="SimSun"/>
          <w:b/>
          <w:sz w:val="22"/>
        </w:rPr>
        <w:t>(a) Dimensionality does not help.</w:t>
      </w:r>
      <w:r>
        <w:rPr>
          <w:rFonts w:ascii="Times New Roman" w:hAnsi="Times New Roman" w:eastAsia="SimSun"/>
          <w:sz w:val="22"/>
        </w:rPr>
        <w:t xml:space="preserve"> Extending the constraint from R1 to R2 to $m$ dimensions does not shrink $\mathcal{R}$ in a way that excludes adversarial passages; it merely gives the attacker more statistics to match. The attacker's cost grows, but their </w:t>
      </w:r>
      <w:r>
        <w:rPr>
          <w:rFonts w:ascii="Times New Roman" w:hAnsi="Times New Roman" w:eastAsia="SimSun"/>
          <w:i/>
          <w:sz w:val="22"/>
        </w:rPr>
        <w:t>feasibility</w:t>
      </w:r>
      <w:r>
        <w:rPr>
          <w:rFonts w:ascii="Times New Roman" w:hAnsi="Times New Roman" w:eastAsia="SimSun"/>
          <w:sz w:val="22"/>
        </w:rPr>
        <w:t xml:space="preserve"> does not disappear, because the injected passages are, by construction, individually indistinguishable from legitimate ones under any statistic computed over their aggregate.</w:t>
      </w:r>
    </w:p>
    <w:p>
      <w:r>
        <w:rPr>
          <w:rFonts w:ascii="Times New Roman" w:hAnsi="Times New Roman" w:eastAsia="SimSun"/>
          <w:b/>
          <w:sz w:val="22"/>
        </w:rPr>
        <w:t>(b) The only escape is individual-level evidence.</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composition. In the adversarial setting this is a provenance question — was this passage injected? — and it is answerable only from signals the attacker's optimisation leaves behind.</w:t>
      </w:r>
    </w:p>
    <w:p>
      <w:r>
        <w:rPr>
          <w:rFonts w:ascii="Times New Roman" w:hAnsi="Times New Roman" w:eastAsia="SimSun"/>
          <w:sz w:val="22"/>
        </w:rPr>
        <w:t xml:space="preserve">This reframes the defense problem. Prior work in this space has largely been an optimisation problem (which composition is fairest, and how to reach it). Under an adversary it is a </w:t>
      </w:r>
      <w:r>
        <w:rPr>
          <w:rFonts w:ascii="Times New Roman" w:hAnsi="Times New Roman" w:eastAsia="SimSun"/>
          <w:i/>
          <w:sz w:val="22"/>
        </w:rPr>
        <w:t>detection</w:t>
      </w:r>
      <w:r>
        <w:rPr>
          <w:rFonts w:ascii="Times New Roman" w:hAnsi="Times New Roman" w:eastAsia="SimSun"/>
          <w:sz w:val="22"/>
        </w:rPr>
        <w:t xml:space="preserve"> problem, and the two are not interchangeable: as §5.3 and §5.4 jointly show, a defense can improve its fairness objective while its security objective is unchanged (controlled corpus) — and, more importantly, the </w:t>
      </w:r>
      <w:r>
        <w:rPr>
          <w:rFonts w:ascii="Times New Roman" w:hAnsi="Times New Roman" w:eastAsia="SimSun"/>
          <w:i/>
          <w:sz w:val="22"/>
        </w:rPr>
        <w:t>only</w:t>
      </w:r>
      <w:r>
        <w:rPr>
          <w:rFonts w:ascii="Times New Roman" w:hAnsi="Times New Roman" w:eastAsia="SimSun"/>
          <w:sz w:val="22"/>
        </w:rPr>
        <w:t xml:space="preserve"> configurations in which the security objective moves at all are those that constrain the R2 dimension (BBQ). An optimisation framing that does not include a composition-independent term has no purchase on the attacker.</w:t>
      </w:r>
    </w:p>
    <w:p>
      <w:r>
        <w:rPr>
          <w:rFonts w:ascii="Times New Roman" w:hAnsi="Times New Roman" w:eastAsia="SimSun"/>
          <w:sz w:val="22"/>
        </w:rPr>
        <w:t>[FILL: formalise the attacker's feasibility set $\mathcal{R} \cap \{\mathcal{D} : \mathcal{D} \cap \mathcal{A} \neq \emptyset\}$ as a function of $n$, $k$, and $\epsilon$, and derive the minimum injection ratio required for $\epsilon$-stance-shift. This is the natural extension of Proposition 1 and is planned as follow-up work.]</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 known reference, and a naturally written bias benchmark. [FILL: construct or adopt such a benchmark.]</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GTE-base, and Contriever (§5.5) — four retrievers spanning lexical, hashed, and two distinct semantic representations. GTE-base matches the backbone of the closest prior work [5] and Contriever that of [8]; E5-base/E5-large (as in [4, 6]) and SPLADE remain to be added. We note that feature-hashing dense retrieval retains the lexical attack surface and should not be read as a stand-in for a semantic encoder — Finding 7 quantifies the difference. More importantly, Finding 7 shows that text-attack effectiveness varies </w:t>
      </w:r>
      <w:r>
        <w:rPr>
          <w:rFonts w:ascii="Times New Roman" w:hAnsi="Times New Roman" w:eastAsia="SimSun"/>
          <w:b/>
          <w:sz w:val="22"/>
        </w:rPr>
        <w:t>nine-fold between two real encoders of the same size class</w:t>
      </w:r>
      <w:r>
        <w:rPr>
          <w:rFonts w:ascii="Times New Roman" w:hAnsi="Times New Roman" w:eastAsia="SimSun"/>
          <w:sz w:val="22"/>
        </w:rPr>
        <w:t xml:space="preserve"> (Contriever 0.5625 versus GTE-base 0.0625), so a single-encoder evaluation cannot establish how robust a defence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We deliberately evaluate at the retrieval layer, so that the R1/R2 mechanism is measurable without a generator and the study is reproducible on commodity hardware (the full suite runs on CPU in under three minutes). This means we do not report attributed exposure [8] or generator bias [4, 7]. Since the retrieval-layer failure we document is a precondition for the downstream harm, we consider the two complementary, and we report generator-stage attribution as planned work. [FILL]</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Consolas" w:hAnsi="Consolas" w:eastAsia="Consolas"/>
          <w:sz w:val="21"/>
        </w:rPr>
        <w:t>[repository URL]</w:t>
      </w:r>
      <w:r>
        <w:rPr>
          <w:rFonts w:ascii="Times New Roman" w:hAnsi="Times New Roman" w:eastAsia="SimSun"/>
          <w:sz w:val="22"/>
        </w:rPr>
        <w:t>. The controlled corpus is generated deterministically from a fixed seed and requires no dataset download; the BBQ corpus is reconstructed from the official benchmark files by a released loader that derives stance labels from BBQ's own annotations.</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